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C178" w14:textId="152AE2AE" w:rsidR="00F11594" w:rsidRPr="00F2655D" w:rsidRDefault="00C00DD1" w:rsidP="00F2655D">
      <w:pPr>
        <w:jc w:val="both"/>
        <w:rPr>
          <w:rFonts w:ascii="Arial" w:hAnsi="Arial" w:cs="Arial"/>
          <w:szCs w:val="20"/>
        </w:rPr>
      </w:pPr>
      <w:r>
        <w:rPr>
          <w:rFonts w:ascii="Arial" w:hAnsi="Arial" w:cs="Arial"/>
          <w:szCs w:val="20"/>
        </w:rPr>
        <w:t>1</w:t>
      </w:r>
      <w:r w:rsidR="00787142">
        <w:rPr>
          <w:rFonts w:ascii="Arial" w:hAnsi="Arial" w:cs="Arial"/>
          <w:szCs w:val="20"/>
        </w:rPr>
        <w:t>4</w:t>
      </w:r>
      <w:r>
        <w:rPr>
          <w:rFonts w:ascii="Arial" w:hAnsi="Arial" w:cs="Arial"/>
          <w:szCs w:val="20"/>
        </w:rPr>
        <w:t xml:space="preserve"> July </w:t>
      </w:r>
      <w:r w:rsidR="009C53E4" w:rsidRPr="00F2655D">
        <w:rPr>
          <w:rFonts w:ascii="Arial" w:hAnsi="Arial" w:cs="Arial"/>
          <w:szCs w:val="20"/>
        </w:rPr>
        <w:t>2020</w:t>
      </w:r>
    </w:p>
    <w:p w14:paraId="70D80EFA" w14:textId="77777777" w:rsidR="00F11594" w:rsidRPr="00F2655D" w:rsidRDefault="00F11594" w:rsidP="00F2655D">
      <w:pPr>
        <w:pStyle w:val="Style1"/>
        <w:jc w:val="both"/>
        <w:rPr>
          <w:rFonts w:ascii="Arial" w:hAnsi="Arial" w:cs="Arial"/>
          <w:sz w:val="20"/>
          <w:szCs w:val="20"/>
        </w:rPr>
      </w:pPr>
    </w:p>
    <w:p w14:paraId="2BC38CB9" w14:textId="692A7EB0" w:rsidR="00943657" w:rsidRPr="00943657" w:rsidRDefault="00787142" w:rsidP="00943657">
      <w:pPr>
        <w:jc w:val="both"/>
        <w:rPr>
          <w:rFonts w:ascii="Arial" w:hAnsi="Arial" w:cs="Arial"/>
          <w:szCs w:val="20"/>
        </w:rPr>
      </w:pPr>
      <w:r>
        <w:rPr>
          <w:rFonts w:ascii="Arial" w:hAnsi="Arial" w:cs="Arial"/>
          <w:szCs w:val="20"/>
        </w:rPr>
        <w:t>To whom it may concern</w:t>
      </w:r>
    </w:p>
    <w:p w14:paraId="07FA7173" w14:textId="77777777" w:rsidR="00943657" w:rsidRPr="00943657" w:rsidRDefault="00943657" w:rsidP="00943657">
      <w:pPr>
        <w:jc w:val="both"/>
        <w:rPr>
          <w:rFonts w:ascii="Arial" w:hAnsi="Arial" w:cs="Arial"/>
          <w:szCs w:val="20"/>
        </w:rPr>
      </w:pPr>
    </w:p>
    <w:p w14:paraId="2DDEECE5" w14:textId="77777777" w:rsidR="00BC4004" w:rsidRDefault="00BC4004" w:rsidP="00BC4004">
      <w:pPr>
        <w:spacing w:line="312" w:lineRule="auto"/>
        <w:contextualSpacing/>
        <w:jc w:val="both"/>
        <w:rPr>
          <w:rFonts w:ascii="Arial" w:hAnsi="Arial" w:cs="Arial"/>
          <w:szCs w:val="20"/>
        </w:rPr>
      </w:pPr>
      <w:r w:rsidRPr="00BC4004">
        <w:rPr>
          <w:rFonts w:ascii="Arial" w:hAnsi="Arial" w:cs="Arial"/>
          <w:szCs w:val="20"/>
        </w:rPr>
        <w:t xml:space="preserve">The Tyre Equipment Parts Association (TEPA) a proud association of the RMI is the single biggest representative body of Tyre Dealers in South Africa as well as Parts dealers, both of which are either independents or franchised. </w:t>
      </w:r>
    </w:p>
    <w:p w14:paraId="5C32D5CC" w14:textId="77777777" w:rsidR="00BC4004" w:rsidRPr="00BC4004" w:rsidRDefault="00BC4004" w:rsidP="00BC4004">
      <w:pPr>
        <w:spacing w:line="312" w:lineRule="auto"/>
        <w:contextualSpacing/>
        <w:jc w:val="both"/>
        <w:rPr>
          <w:rFonts w:ascii="Arial" w:hAnsi="Arial" w:cs="Arial"/>
          <w:szCs w:val="20"/>
        </w:rPr>
      </w:pPr>
    </w:p>
    <w:p w14:paraId="2540CD53" w14:textId="77777777" w:rsidR="00BC4004" w:rsidRDefault="00BC4004" w:rsidP="00BC4004">
      <w:pPr>
        <w:spacing w:line="312" w:lineRule="auto"/>
        <w:contextualSpacing/>
        <w:jc w:val="both"/>
        <w:rPr>
          <w:rFonts w:ascii="Arial" w:hAnsi="Arial" w:cs="Arial"/>
          <w:szCs w:val="20"/>
        </w:rPr>
      </w:pPr>
      <w:r w:rsidRPr="00BC4004">
        <w:rPr>
          <w:rFonts w:ascii="Arial" w:hAnsi="Arial" w:cs="Arial"/>
          <w:szCs w:val="20"/>
        </w:rPr>
        <w:t xml:space="preserve">The document presents that a wider extensive consultation has been conducted with industry by the Commission, the extent of this consultation appears to have not fully covered all industries involved in Franchised operations. Therefore, it will be imperative to note those specific industries as alluded too. </w:t>
      </w:r>
    </w:p>
    <w:p w14:paraId="4211B74E" w14:textId="77777777" w:rsidR="00BC4004" w:rsidRPr="00BC4004" w:rsidRDefault="00BC4004" w:rsidP="00BC4004">
      <w:pPr>
        <w:spacing w:line="312" w:lineRule="auto"/>
        <w:contextualSpacing/>
        <w:jc w:val="both"/>
        <w:rPr>
          <w:rFonts w:ascii="Arial" w:hAnsi="Arial" w:cs="Arial"/>
          <w:szCs w:val="20"/>
        </w:rPr>
      </w:pPr>
    </w:p>
    <w:p w14:paraId="3CB1F01F" w14:textId="77777777" w:rsidR="00BC4004" w:rsidRDefault="00BC4004" w:rsidP="00BC4004">
      <w:pPr>
        <w:spacing w:line="312" w:lineRule="auto"/>
        <w:contextualSpacing/>
        <w:jc w:val="both"/>
        <w:rPr>
          <w:rFonts w:ascii="Arial" w:hAnsi="Arial" w:cs="Arial"/>
          <w:szCs w:val="20"/>
        </w:rPr>
      </w:pPr>
      <w:r w:rsidRPr="00BC4004">
        <w:rPr>
          <w:rFonts w:ascii="Arial" w:hAnsi="Arial" w:cs="Arial"/>
          <w:szCs w:val="20"/>
        </w:rPr>
        <w:t>TEPA is of the opinion that the establishment of a FIO does not have jurisdiction over the motor industry related businesses as there is already a Motor Industry Ombud in place.  Consequently, there would be no benefit to the commission in this regard as far the Motor Industry is concerned.</w:t>
      </w:r>
    </w:p>
    <w:p w14:paraId="1155A55D" w14:textId="77777777" w:rsidR="00BC4004" w:rsidRPr="00BC4004" w:rsidRDefault="00BC4004" w:rsidP="00BC4004">
      <w:pPr>
        <w:spacing w:line="312" w:lineRule="auto"/>
        <w:contextualSpacing/>
        <w:jc w:val="both"/>
        <w:rPr>
          <w:rFonts w:ascii="Arial" w:hAnsi="Arial" w:cs="Arial"/>
          <w:szCs w:val="20"/>
        </w:rPr>
      </w:pPr>
    </w:p>
    <w:p w14:paraId="1DB59AEF" w14:textId="77777777" w:rsidR="00BC4004" w:rsidRDefault="00BC4004" w:rsidP="00BC4004">
      <w:pPr>
        <w:spacing w:line="312" w:lineRule="auto"/>
        <w:contextualSpacing/>
        <w:jc w:val="both"/>
        <w:rPr>
          <w:rFonts w:ascii="Arial" w:hAnsi="Arial" w:cs="Arial"/>
          <w:szCs w:val="20"/>
        </w:rPr>
      </w:pPr>
      <w:r w:rsidRPr="00BC4004">
        <w:rPr>
          <w:rFonts w:ascii="Arial" w:hAnsi="Arial" w:cs="Arial"/>
          <w:szCs w:val="20"/>
        </w:rPr>
        <w:t xml:space="preserve">However, there are numerous concerns that TEPA has regarding the establishment of a FIO. </w:t>
      </w:r>
    </w:p>
    <w:p w14:paraId="5B057480" w14:textId="77777777" w:rsidR="00BC4004" w:rsidRPr="00BC4004" w:rsidRDefault="00BC4004" w:rsidP="00BC4004">
      <w:pPr>
        <w:spacing w:line="312" w:lineRule="auto"/>
        <w:contextualSpacing/>
        <w:jc w:val="both"/>
        <w:rPr>
          <w:rFonts w:ascii="Arial" w:hAnsi="Arial" w:cs="Arial"/>
          <w:szCs w:val="20"/>
        </w:rPr>
      </w:pPr>
    </w:p>
    <w:p w14:paraId="7B533CBF" w14:textId="77777777" w:rsidR="00BC4004" w:rsidRPr="00BC4004" w:rsidRDefault="00BC4004" w:rsidP="00BC4004">
      <w:pPr>
        <w:pStyle w:val="ListParagraph"/>
        <w:numPr>
          <w:ilvl w:val="0"/>
          <w:numId w:val="3"/>
        </w:numPr>
        <w:spacing w:line="312" w:lineRule="auto"/>
        <w:ind w:left="567" w:hanging="567"/>
        <w:jc w:val="both"/>
        <w:rPr>
          <w:rFonts w:ascii="Arial" w:hAnsi="Arial" w:cs="Arial"/>
          <w:szCs w:val="20"/>
        </w:rPr>
      </w:pPr>
      <w:r w:rsidRPr="00BC4004">
        <w:rPr>
          <w:rFonts w:ascii="Arial" w:hAnsi="Arial" w:cs="Arial"/>
          <w:szCs w:val="20"/>
        </w:rPr>
        <w:t xml:space="preserve">Clause 3.1.1. alludes to the inclusion of Car Dealers, which in the broader context implies the “Motor Industry” which is already covered by the MIOSA. </w:t>
      </w:r>
    </w:p>
    <w:p w14:paraId="434E5AF4" w14:textId="77777777" w:rsidR="00BC4004" w:rsidRPr="00BC4004" w:rsidRDefault="00BC4004" w:rsidP="00BC4004">
      <w:pPr>
        <w:pStyle w:val="ListParagraph"/>
        <w:numPr>
          <w:ilvl w:val="0"/>
          <w:numId w:val="3"/>
        </w:numPr>
        <w:spacing w:line="312" w:lineRule="auto"/>
        <w:ind w:left="567" w:hanging="567"/>
        <w:jc w:val="both"/>
        <w:rPr>
          <w:rFonts w:ascii="Arial" w:hAnsi="Arial" w:cs="Arial"/>
          <w:szCs w:val="20"/>
        </w:rPr>
      </w:pPr>
      <w:r w:rsidRPr="00BC4004">
        <w:rPr>
          <w:rFonts w:ascii="Arial" w:hAnsi="Arial" w:cs="Arial"/>
          <w:szCs w:val="20"/>
        </w:rPr>
        <w:t xml:space="preserve">3.1.2. refers to funding and it should be noted that with the jurisdictional limitation the Motor Industry related franchisees would not form part of the funding model. </w:t>
      </w:r>
    </w:p>
    <w:p w14:paraId="30042E50" w14:textId="77777777" w:rsidR="00BC4004" w:rsidRPr="00BC4004" w:rsidRDefault="00BC4004" w:rsidP="00BC4004">
      <w:pPr>
        <w:pStyle w:val="ListParagraph"/>
        <w:numPr>
          <w:ilvl w:val="0"/>
          <w:numId w:val="3"/>
        </w:numPr>
        <w:spacing w:line="312" w:lineRule="auto"/>
        <w:ind w:left="567" w:hanging="567"/>
        <w:jc w:val="both"/>
        <w:rPr>
          <w:rFonts w:ascii="Arial" w:hAnsi="Arial" w:cs="Arial"/>
          <w:szCs w:val="20"/>
        </w:rPr>
      </w:pPr>
      <w:r w:rsidRPr="00BC4004">
        <w:rPr>
          <w:rFonts w:ascii="Arial" w:hAnsi="Arial" w:cs="Arial"/>
          <w:szCs w:val="20"/>
        </w:rPr>
        <w:t>3.1.4. refers to the FIO complying with the King code of Governance, however where funds are a gazetted obligation, it stands to reason that these same funds must be managed in line with the requirements of the PFMA and not any other practice. This will ensure compliance with the ministerial financial modelling and congruence of objectives measurement and accountability.</w:t>
      </w:r>
    </w:p>
    <w:p w14:paraId="2B718D94" w14:textId="77777777" w:rsidR="00BC4004" w:rsidRPr="00BC4004" w:rsidRDefault="00BC4004" w:rsidP="00BC4004">
      <w:pPr>
        <w:pStyle w:val="ListParagraph"/>
        <w:numPr>
          <w:ilvl w:val="0"/>
          <w:numId w:val="3"/>
        </w:numPr>
        <w:spacing w:line="312" w:lineRule="auto"/>
        <w:ind w:left="567" w:hanging="567"/>
        <w:jc w:val="both"/>
        <w:rPr>
          <w:rFonts w:ascii="Arial" w:hAnsi="Arial" w:cs="Arial"/>
          <w:szCs w:val="20"/>
        </w:rPr>
      </w:pPr>
      <w:r w:rsidRPr="00BC4004">
        <w:rPr>
          <w:rFonts w:ascii="Arial" w:hAnsi="Arial" w:cs="Arial"/>
          <w:szCs w:val="20"/>
        </w:rPr>
        <w:t>3.1.8. where the discussion document provides for the promotion and awareness campaigning of the FIO there is merit, however this must be strictly according to a budget approved by the department and treasury, in line with the confines of the PFMA.</w:t>
      </w:r>
    </w:p>
    <w:p w14:paraId="3E512A6D" w14:textId="77777777" w:rsidR="00BC4004" w:rsidRDefault="00BC4004" w:rsidP="00BC4004">
      <w:pPr>
        <w:pStyle w:val="ListParagraph"/>
        <w:numPr>
          <w:ilvl w:val="0"/>
          <w:numId w:val="3"/>
        </w:numPr>
        <w:spacing w:line="312" w:lineRule="auto"/>
        <w:ind w:left="567" w:hanging="567"/>
        <w:jc w:val="both"/>
        <w:rPr>
          <w:rFonts w:ascii="Arial" w:hAnsi="Arial" w:cs="Arial"/>
          <w:szCs w:val="20"/>
        </w:rPr>
      </w:pPr>
      <w:r w:rsidRPr="00BC4004">
        <w:rPr>
          <w:rFonts w:ascii="Arial" w:hAnsi="Arial" w:cs="Arial"/>
          <w:szCs w:val="20"/>
        </w:rPr>
        <w:t>3.1.9 the discussion document reflects on mechanisms to deal with complaints; however, this is not associated with any performance limitations or targets as effectiveness measurements.</w:t>
      </w:r>
    </w:p>
    <w:p w14:paraId="4AD57243" w14:textId="77777777" w:rsidR="00BC4004" w:rsidRPr="00BC4004" w:rsidRDefault="00BC4004" w:rsidP="00BC4004">
      <w:pPr>
        <w:pStyle w:val="ListParagraph"/>
        <w:spacing w:line="312" w:lineRule="auto"/>
        <w:ind w:left="567"/>
        <w:jc w:val="both"/>
        <w:rPr>
          <w:rFonts w:ascii="Arial" w:hAnsi="Arial" w:cs="Arial"/>
          <w:szCs w:val="20"/>
        </w:rPr>
      </w:pPr>
    </w:p>
    <w:p w14:paraId="798D45EF" w14:textId="77777777" w:rsidR="00BC4004" w:rsidRPr="00BC4004" w:rsidRDefault="00BC4004" w:rsidP="00BC4004">
      <w:pPr>
        <w:spacing w:line="312" w:lineRule="auto"/>
        <w:contextualSpacing/>
        <w:jc w:val="both"/>
        <w:rPr>
          <w:rFonts w:ascii="Arial" w:hAnsi="Arial" w:cs="Arial"/>
          <w:szCs w:val="20"/>
        </w:rPr>
      </w:pPr>
      <w:r w:rsidRPr="00BC4004">
        <w:rPr>
          <w:rFonts w:ascii="Arial" w:hAnsi="Arial" w:cs="Arial"/>
          <w:szCs w:val="20"/>
        </w:rPr>
        <w:t>In the detail of the CODE for the Franchise Ombud the following comments and concerns are raised by section.</w:t>
      </w:r>
    </w:p>
    <w:p w14:paraId="3BC0DA9C" w14:textId="77777777" w:rsidR="00BC4004" w:rsidRDefault="00BC4004" w:rsidP="00BC4004">
      <w:pPr>
        <w:spacing w:line="312" w:lineRule="auto"/>
        <w:contextualSpacing/>
        <w:jc w:val="both"/>
        <w:rPr>
          <w:rFonts w:ascii="Arial" w:hAnsi="Arial" w:cs="Arial"/>
          <w:szCs w:val="20"/>
        </w:rPr>
      </w:pPr>
    </w:p>
    <w:p w14:paraId="708F6504" w14:textId="77777777" w:rsidR="00452D36" w:rsidRDefault="00452D36" w:rsidP="00BC4004">
      <w:pPr>
        <w:spacing w:line="312" w:lineRule="auto"/>
        <w:contextualSpacing/>
        <w:jc w:val="both"/>
        <w:rPr>
          <w:rFonts w:ascii="Arial" w:hAnsi="Arial" w:cs="Arial"/>
          <w:szCs w:val="20"/>
        </w:rPr>
      </w:pPr>
    </w:p>
    <w:p w14:paraId="48233C32" w14:textId="77777777" w:rsidR="00452D36" w:rsidRDefault="00452D36" w:rsidP="00BC4004">
      <w:pPr>
        <w:spacing w:line="312" w:lineRule="auto"/>
        <w:contextualSpacing/>
        <w:jc w:val="both"/>
        <w:rPr>
          <w:rFonts w:ascii="Arial" w:hAnsi="Arial" w:cs="Arial"/>
          <w:szCs w:val="20"/>
        </w:rPr>
      </w:pPr>
    </w:p>
    <w:p w14:paraId="0AC919D1" w14:textId="77777777" w:rsidR="00452D36" w:rsidRDefault="00452D36" w:rsidP="00BC4004">
      <w:pPr>
        <w:spacing w:line="312" w:lineRule="auto"/>
        <w:contextualSpacing/>
        <w:jc w:val="both"/>
        <w:rPr>
          <w:rFonts w:ascii="Arial" w:hAnsi="Arial" w:cs="Arial"/>
          <w:szCs w:val="20"/>
        </w:rPr>
      </w:pPr>
    </w:p>
    <w:p w14:paraId="5FF01D9F" w14:textId="77777777" w:rsidR="00452D36" w:rsidRDefault="00452D36" w:rsidP="00BC4004">
      <w:pPr>
        <w:spacing w:line="312" w:lineRule="auto"/>
        <w:contextualSpacing/>
        <w:jc w:val="both"/>
        <w:rPr>
          <w:rFonts w:ascii="Arial" w:hAnsi="Arial" w:cs="Arial"/>
          <w:szCs w:val="20"/>
        </w:rPr>
      </w:pPr>
    </w:p>
    <w:p w14:paraId="19AD4D88" w14:textId="77777777" w:rsidR="00452D36" w:rsidRPr="00BC4004" w:rsidRDefault="00452D36" w:rsidP="00BC4004">
      <w:pPr>
        <w:spacing w:line="312" w:lineRule="auto"/>
        <w:contextualSpacing/>
        <w:jc w:val="both"/>
        <w:rPr>
          <w:rFonts w:ascii="Arial" w:hAnsi="Arial" w:cs="Arial"/>
          <w:szCs w:val="20"/>
        </w:rPr>
      </w:pPr>
    </w:p>
    <w:p w14:paraId="28841C0C" w14:textId="77777777" w:rsidR="00BC4004" w:rsidRDefault="00BC4004" w:rsidP="00452D36">
      <w:pPr>
        <w:pStyle w:val="ListParagraph"/>
        <w:numPr>
          <w:ilvl w:val="0"/>
          <w:numId w:val="4"/>
        </w:numPr>
        <w:spacing w:line="312" w:lineRule="auto"/>
        <w:ind w:left="567" w:hanging="567"/>
        <w:jc w:val="both"/>
        <w:rPr>
          <w:rFonts w:ascii="Arial" w:hAnsi="Arial" w:cs="Arial"/>
          <w:b/>
          <w:szCs w:val="20"/>
        </w:rPr>
      </w:pPr>
      <w:r w:rsidRPr="00452D36">
        <w:rPr>
          <w:rFonts w:ascii="Arial" w:hAnsi="Arial" w:cs="Arial"/>
          <w:b/>
          <w:szCs w:val="20"/>
        </w:rPr>
        <w:lastRenderedPageBreak/>
        <w:t xml:space="preserve">CONSTITUTION OF THE BOARD OF THE FIO </w:t>
      </w:r>
    </w:p>
    <w:p w14:paraId="6F34B054" w14:textId="77777777" w:rsidR="00452D36" w:rsidRPr="00452D36" w:rsidRDefault="00452D36" w:rsidP="00452D36">
      <w:pPr>
        <w:pStyle w:val="ListParagraph"/>
        <w:spacing w:line="312" w:lineRule="auto"/>
        <w:ind w:left="567"/>
        <w:jc w:val="both"/>
        <w:rPr>
          <w:rFonts w:ascii="Arial" w:hAnsi="Arial" w:cs="Arial"/>
          <w:b/>
          <w:szCs w:val="20"/>
        </w:rPr>
      </w:pPr>
    </w:p>
    <w:p w14:paraId="535D7AA7" w14:textId="77777777" w:rsidR="00BC4004" w:rsidRDefault="00BC4004" w:rsidP="00452D36">
      <w:pPr>
        <w:spacing w:line="312" w:lineRule="auto"/>
        <w:ind w:left="567"/>
        <w:contextualSpacing/>
        <w:jc w:val="both"/>
        <w:rPr>
          <w:rFonts w:ascii="Arial" w:hAnsi="Arial" w:cs="Arial"/>
          <w:szCs w:val="20"/>
        </w:rPr>
      </w:pPr>
      <w:r w:rsidRPr="00BC4004">
        <w:rPr>
          <w:rFonts w:ascii="Arial" w:hAnsi="Arial" w:cs="Arial"/>
          <w:szCs w:val="20"/>
        </w:rPr>
        <w:t>The composition of the Board should be made during an initial general meeting of the FASA, where democratic nominations and voting in to office should determine the de</w:t>
      </w:r>
      <w:r w:rsidR="00452D36">
        <w:rPr>
          <w:rFonts w:ascii="Arial" w:hAnsi="Arial" w:cs="Arial"/>
          <w:szCs w:val="20"/>
        </w:rPr>
        <w:t>mocratic manner of the process.</w:t>
      </w:r>
    </w:p>
    <w:p w14:paraId="4437477D" w14:textId="77777777" w:rsidR="00452D36" w:rsidRPr="00BC4004" w:rsidRDefault="00452D36" w:rsidP="00452D36">
      <w:pPr>
        <w:spacing w:line="312" w:lineRule="auto"/>
        <w:ind w:left="567"/>
        <w:contextualSpacing/>
        <w:jc w:val="both"/>
        <w:rPr>
          <w:rFonts w:ascii="Arial" w:hAnsi="Arial" w:cs="Arial"/>
          <w:szCs w:val="20"/>
        </w:rPr>
      </w:pPr>
    </w:p>
    <w:p w14:paraId="17BE52B1" w14:textId="77777777" w:rsidR="00BC4004" w:rsidRDefault="00BC4004" w:rsidP="00452D36">
      <w:pPr>
        <w:pStyle w:val="ListParagraph"/>
        <w:numPr>
          <w:ilvl w:val="0"/>
          <w:numId w:val="4"/>
        </w:numPr>
        <w:spacing w:line="312" w:lineRule="auto"/>
        <w:ind w:left="567" w:hanging="567"/>
        <w:jc w:val="both"/>
        <w:rPr>
          <w:rFonts w:ascii="Arial" w:hAnsi="Arial" w:cs="Arial"/>
          <w:b/>
          <w:szCs w:val="20"/>
        </w:rPr>
      </w:pPr>
      <w:r w:rsidRPr="00452D36">
        <w:rPr>
          <w:rFonts w:ascii="Arial" w:hAnsi="Arial" w:cs="Arial"/>
          <w:b/>
          <w:szCs w:val="20"/>
        </w:rPr>
        <w:t xml:space="preserve">POWERS, DUTIES AND FUNCTIONS OF THE BOARD </w:t>
      </w:r>
    </w:p>
    <w:p w14:paraId="7B770054" w14:textId="77777777" w:rsidR="00452D36" w:rsidRPr="00452D36" w:rsidRDefault="00452D36" w:rsidP="00452D36">
      <w:pPr>
        <w:pStyle w:val="ListParagraph"/>
        <w:spacing w:line="312" w:lineRule="auto"/>
        <w:ind w:left="567"/>
        <w:jc w:val="both"/>
        <w:rPr>
          <w:rFonts w:ascii="Arial" w:hAnsi="Arial" w:cs="Arial"/>
          <w:b/>
          <w:szCs w:val="20"/>
        </w:rPr>
      </w:pPr>
    </w:p>
    <w:p w14:paraId="1F5480EB" w14:textId="77777777" w:rsidR="00BC4004" w:rsidRDefault="00BC4004" w:rsidP="00452D36">
      <w:pPr>
        <w:pStyle w:val="ListParagraph"/>
        <w:numPr>
          <w:ilvl w:val="1"/>
          <w:numId w:val="5"/>
        </w:numPr>
        <w:spacing w:line="312" w:lineRule="auto"/>
        <w:ind w:left="567" w:hanging="567"/>
        <w:jc w:val="both"/>
        <w:rPr>
          <w:rFonts w:ascii="Arial" w:hAnsi="Arial" w:cs="Arial"/>
          <w:szCs w:val="20"/>
        </w:rPr>
      </w:pPr>
      <w:r w:rsidRPr="00452D36">
        <w:rPr>
          <w:rFonts w:ascii="Arial" w:hAnsi="Arial" w:cs="Arial"/>
          <w:szCs w:val="20"/>
        </w:rPr>
        <w:t>The Board must</w:t>
      </w:r>
    </w:p>
    <w:p w14:paraId="07E26827" w14:textId="77777777" w:rsidR="00452D36" w:rsidRPr="00452D36" w:rsidRDefault="00452D36" w:rsidP="00452D36">
      <w:pPr>
        <w:pStyle w:val="ListParagraph"/>
        <w:spacing w:line="312" w:lineRule="auto"/>
        <w:ind w:left="567"/>
        <w:jc w:val="both"/>
        <w:rPr>
          <w:rFonts w:ascii="Arial" w:hAnsi="Arial" w:cs="Arial"/>
          <w:szCs w:val="20"/>
        </w:rPr>
      </w:pPr>
    </w:p>
    <w:p w14:paraId="13C25D2A" w14:textId="77777777" w:rsidR="00BC4004" w:rsidRPr="00452D36" w:rsidRDefault="00BC4004" w:rsidP="00452D36">
      <w:pPr>
        <w:pStyle w:val="ListParagraph"/>
        <w:numPr>
          <w:ilvl w:val="2"/>
          <w:numId w:val="4"/>
        </w:numPr>
        <w:spacing w:line="312" w:lineRule="auto"/>
        <w:ind w:left="1134" w:hanging="567"/>
        <w:jc w:val="both"/>
        <w:rPr>
          <w:rFonts w:ascii="Arial" w:hAnsi="Arial" w:cs="Arial"/>
          <w:szCs w:val="20"/>
        </w:rPr>
      </w:pPr>
      <w:r w:rsidRPr="00452D36">
        <w:rPr>
          <w:rFonts w:ascii="Arial" w:hAnsi="Arial" w:cs="Arial"/>
          <w:szCs w:val="20"/>
        </w:rPr>
        <w:t xml:space="preserve">The duties of the board in setting remuneration must be limited to adherence to the government approved Job grading levels, and the Ombud must not be otherwise employed other than as the Ombud. </w:t>
      </w:r>
    </w:p>
    <w:p w14:paraId="227CC231" w14:textId="77777777" w:rsidR="00BC4004" w:rsidRPr="00BC4004" w:rsidRDefault="00BC4004" w:rsidP="00452D36">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t xml:space="preserve">(b) the level of contribution must be approved by a full general meeting of the members of the FASA, and must not be a unilateral board decision. </w:t>
      </w:r>
    </w:p>
    <w:p w14:paraId="2732928A" w14:textId="77777777" w:rsidR="00BC4004" w:rsidRDefault="00BC4004" w:rsidP="00452D36">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t>(g) The Resourcing of the Ombud must be inline with the approved budget and follow due process as for Government HR practices. All incumbents must follow the government HR training program as well.</w:t>
      </w:r>
    </w:p>
    <w:p w14:paraId="5A2C8F93" w14:textId="77777777" w:rsidR="00452D36" w:rsidRPr="00BC4004" w:rsidRDefault="00452D36" w:rsidP="00452D36">
      <w:pPr>
        <w:pStyle w:val="ListParagraph"/>
        <w:spacing w:line="312" w:lineRule="auto"/>
        <w:ind w:left="1134"/>
        <w:jc w:val="both"/>
        <w:rPr>
          <w:rFonts w:ascii="Arial" w:hAnsi="Arial" w:cs="Arial"/>
          <w:szCs w:val="20"/>
        </w:rPr>
      </w:pPr>
    </w:p>
    <w:p w14:paraId="7A8CD344" w14:textId="77777777" w:rsidR="00BC4004" w:rsidRDefault="00BC4004" w:rsidP="00452D36">
      <w:pPr>
        <w:pStyle w:val="ListParagraph"/>
        <w:numPr>
          <w:ilvl w:val="1"/>
          <w:numId w:val="5"/>
        </w:numPr>
        <w:spacing w:line="312" w:lineRule="auto"/>
        <w:ind w:left="567" w:hanging="567"/>
        <w:jc w:val="both"/>
        <w:rPr>
          <w:rFonts w:ascii="Arial" w:hAnsi="Arial" w:cs="Arial"/>
          <w:szCs w:val="20"/>
        </w:rPr>
      </w:pPr>
      <w:r w:rsidRPr="00BC4004">
        <w:rPr>
          <w:rFonts w:ascii="Arial" w:hAnsi="Arial" w:cs="Arial"/>
          <w:szCs w:val="20"/>
        </w:rPr>
        <w:t>Contributions</w:t>
      </w:r>
    </w:p>
    <w:p w14:paraId="0791C1E1" w14:textId="77777777" w:rsidR="00452D36" w:rsidRPr="00BC4004" w:rsidRDefault="00452D36" w:rsidP="00452D36">
      <w:pPr>
        <w:pStyle w:val="ListParagraph"/>
        <w:spacing w:line="312" w:lineRule="auto"/>
        <w:ind w:left="567"/>
        <w:jc w:val="both"/>
        <w:rPr>
          <w:rFonts w:ascii="Arial" w:hAnsi="Arial" w:cs="Arial"/>
          <w:szCs w:val="20"/>
        </w:rPr>
      </w:pPr>
    </w:p>
    <w:p w14:paraId="7DC7970C" w14:textId="77777777" w:rsidR="00BC4004" w:rsidRPr="00452D36" w:rsidRDefault="00BC4004" w:rsidP="00452D36">
      <w:pPr>
        <w:pStyle w:val="ListParagraph"/>
        <w:numPr>
          <w:ilvl w:val="0"/>
          <w:numId w:val="7"/>
        </w:numPr>
        <w:spacing w:line="312" w:lineRule="auto"/>
        <w:ind w:left="1134" w:hanging="567"/>
        <w:jc w:val="both"/>
        <w:rPr>
          <w:rFonts w:ascii="Arial" w:hAnsi="Arial" w:cs="Arial"/>
          <w:szCs w:val="20"/>
        </w:rPr>
      </w:pPr>
      <w:r w:rsidRPr="00452D36">
        <w:rPr>
          <w:rFonts w:ascii="Arial" w:hAnsi="Arial" w:cs="Arial"/>
          <w:szCs w:val="20"/>
        </w:rPr>
        <w:t>With the motor industry not being party to this FIO are those volumes of franchisees to be disregarded in the formulation of the number of franchisees</w:t>
      </w:r>
    </w:p>
    <w:p w14:paraId="1E891E9E" w14:textId="472AF8DE" w:rsidR="00787142" w:rsidRPr="00BC4004" w:rsidRDefault="00BC4004" w:rsidP="00787142">
      <w:pPr>
        <w:pStyle w:val="ListParagraph"/>
        <w:numPr>
          <w:ilvl w:val="0"/>
          <w:numId w:val="7"/>
        </w:numPr>
        <w:spacing w:line="312" w:lineRule="auto"/>
        <w:jc w:val="both"/>
        <w:rPr>
          <w:rFonts w:ascii="Arial" w:hAnsi="Arial" w:cs="Arial"/>
          <w:szCs w:val="20"/>
        </w:rPr>
      </w:pPr>
      <w:r w:rsidRPr="00BC4004">
        <w:rPr>
          <w:rFonts w:ascii="Arial" w:hAnsi="Arial" w:cs="Arial"/>
          <w:szCs w:val="20"/>
        </w:rPr>
        <w:t>.</w:t>
      </w:r>
      <w:r w:rsidR="00787142" w:rsidRPr="00787142">
        <w:rPr>
          <w:rFonts w:ascii="Arial" w:hAnsi="Arial" w:cs="Arial"/>
          <w:szCs w:val="20"/>
        </w:rPr>
        <w:t xml:space="preserve"> </w:t>
      </w:r>
      <w:r w:rsidR="00787142" w:rsidRPr="00BC4004">
        <w:rPr>
          <w:rFonts w:ascii="Arial" w:hAnsi="Arial" w:cs="Arial"/>
          <w:szCs w:val="20"/>
        </w:rPr>
        <w:t xml:space="preserve">The five categories of determination as described (b – </w:t>
      </w:r>
      <w:r w:rsidR="00787142">
        <w:rPr>
          <w:rFonts w:ascii="Arial" w:hAnsi="Arial" w:cs="Arial"/>
          <w:szCs w:val="20"/>
        </w:rPr>
        <w:t>f</w:t>
      </w:r>
      <w:r w:rsidR="00787142" w:rsidRPr="00BC4004">
        <w:rPr>
          <w:rFonts w:ascii="Arial" w:hAnsi="Arial" w:cs="Arial"/>
          <w:szCs w:val="20"/>
        </w:rPr>
        <w:t>) are all associated with confidential trading information that sharing with the Ombud and ultimately the Board (made up of other franchisees) would provide information that could be seen as material in gaining a competitive advantage in the industry.</w:t>
      </w:r>
    </w:p>
    <w:p w14:paraId="767D4C82" w14:textId="7354A029" w:rsidR="00787142" w:rsidRPr="00BC4004" w:rsidRDefault="00787142" w:rsidP="00787142">
      <w:pPr>
        <w:pStyle w:val="ListParagraph"/>
        <w:numPr>
          <w:ilvl w:val="0"/>
          <w:numId w:val="7"/>
        </w:numPr>
        <w:spacing w:line="312" w:lineRule="auto"/>
        <w:jc w:val="both"/>
        <w:rPr>
          <w:rFonts w:ascii="Arial" w:hAnsi="Arial" w:cs="Arial"/>
          <w:szCs w:val="20"/>
        </w:rPr>
      </w:pPr>
      <w:r w:rsidRPr="00BC4004">
        <w:rPr>
          <w:rFonts w:ascii="Arial" w:hAnsi="Arial" w:cs="Arial"/>
          <w:szCs w:val="20"/>
        </w:rPr>
        <w:t xml:space="preserve">The five categories of determination as described (b – </w:t>
      </w:r>
      <w:r>
        <w:rPr>
          <w:rFonts w:ascii="Arial" w:hAnsi="Arial" w:cs="Arial"/>
          <w:szCs w:val="20"/>
        </w:rPr>
        <w:t>f</w:t>
      </w:r>
      <w:r w:rsidRPr="00BC4004">
        <w:rPr>
          <w:rFonts w:ascii="Arial" w:hAnsi="Arial" w:cs="Arial"/>
          <w:szCs w:val="20"/>
        </w:rPr>
        <w:t>) are all associated with confidential trading information that sharing with the Ombud and ultimately the Board (made up of other franchisees) would provide information that could be seen as material in gaining a competitive advantage in the industry.</w:t>
      </w:r>
    </w:p>
    <w:p w14:paraId="1FDDAA38" w14:textId="2D31E324" w:rsidR="00787142" w:rsidRPr="00BC4004" w:rsidRDefault="00787142" w:rsidP="00787142">
      <w:pPr>
        <w:pStyle w:val="ListParagraph"/>
        <w:numPr>
          <w:ilvl w:val="0"/>
          <w:numId w:val="7"/>
        </w:numPr>
        <w:spacing w:line="312" w:lineRule="auto"/>
        <w:jc w:val="both"/>
        <w:rPr>
          <w:rFonts w:ascii="Arial" w:hAnsi="Arial" w:cs="Arial"/>
          <w:szCs w:val="20"/>
        </w:rPr>
      </w:pPr>
      <w:r w:rsidRPr="00BC4004">
        <w:rPr>
          <w:rFonts w:ascii="Arial" w:hAnsi="Arial" w:cs="Arial"/>
          <w:szCs w:val="20"/>
        </w:rPr>
        <w:t xml:space="preserve">The five categories of determination as described (b – </w:t>
      </w:r>
      <w:r>
        <w:rPr>
          <w:rFonts w:ascii="Arial" w:hAnsi="Arial" w:cs="Arial"/>
          <w:szCs w:val="20"/>
        </w:rPr>
        <w:t>f</w:t>
      </w:r>
      <w:r w:rsidRPr="00BC4004">
        <w:rPr>
          <w:rFonts w:ascii="Arial" w:hAnsi="Arial" w:cs="Arial"/>
          <w:szCs w:val="20"/>
        </w:rPr>
        <w:t>) are all associated with confidential trading information that sharing with the Ombud and ultimately the Board (made up of other franchisees) would provide information that could be seen as material in gaining a competitive advantage in the industry.</w:t>
      </w:r>
    </w:p>
    <w:p w14:paraId="240FF5C7" w14:textId="538A6CC2" w:rsidR="00787142" w:rsidRPr="00BC4004" w:rsidRDefault="00787142" w:rsidP="00787142">
      <w:pPr>
        <w:pStyle w:val="ListParagraph"/>
        <w:numPr>
          <w:ilvl w:val="0"/>
          <w:numId w:val="7"/>
        </w:numPr>
        <w:spacing w:line="312" w:lineRule="auto"/>
        <w:jc w:val="both"/>
        <w:rPr>
          <w:rFonts w:ascii="Arial" w:hAnsi="Arial" w:cs="Arial"/>
          <w:szCs w:val="20"/>
        </w:rPr>
      </w:pPr>
      <w:r w:rsidRPr="00BC4004">
        <w:rPr>
          <w:rFonts w:ascii="Arial" w:hAnsi="Arial" w:cs="Arial"/>
          <w:szCs w:val="20"/>
        </w:rPr>
        <w:t xml:space="preserve">The five categories of determination as described (b – </w:t>
      </w:r>
      <w:r>
        <w:rPr>
          <w:rFonts w:ascii="Arial" w:hAnsi="Arial" w:cs="Arial"/>
          <w:szCs w:val="20"/>
        </w:rPr>
        <w:t>f</w:t>
      </w:r>
      <w:r w:rsidRPr="00BC4004">
        <w:rPr>
          <w:rFonts w:ascii="Arial" w:hAnsi="Arial" w:cs="Arial"/>
          <w:szCs w:val="20"/>
        </w:rPr>
        <w:t>) are all associated with confidential trading information that sharing with the Ombud and ultimately the Board (made up of other franchisees) would provide information that could be seen as material in gaining a competitive advantage in the industry.</w:t>
      </w:r>
    </w:p>
    <w:p w14:paraId="50DD9D4A" w14:textId="1130ACCE" w:rsidR="00BC4004" w:rsidRPr="00BC4004" w:rsidRDefault="00BC4004" w:rsidP="00787142">
      <w:pPr>
        <w:pStyle w:val="ListParagraph"/>
        <w:numPr>
          <w:ilvl w:val="0"/>
          <w:numId w:val="7"/>
        </w:numPr>
        <w:spacing w:line="312" w:lineRule="auto"/>
        <w:jc w:val="both"/>
        <w:rPr>
          <w:rFonts w:ascii="Arial" w:hAnsi="Arial" w:cs="Arial"/>
          <w:szCs w:val="20"/>
        </w:rPr>
      </w:pPr>
      <w:bookmarkStart w:id="0" w:name="_Hlk45718197"/>
      <w:r w:rsidRPr="00BC4004">
        <w:rPr>
          <w:rFonts w:ascii="Arial" w:hAnsi="Arial" w:cs="Arial"/>
          <w:szCs w:val="20"/>
        </w:rPr>
        <w:t xml:space="preserve">The five categories of determination as described (b – </w:t>
      </w:r>
      <w:r w:rsidR="00787142">
        <w:rPr>
          <w:rFonts w:ascii="Arial" w:hAnsi="Arial" w:cs="Arial"/>
          <w:szCs w:val="20"/>
        </w:rPr>
        <w:t>f</w:t>
      </w:r>
      <w:r w:rsidRPr="00BC4004">
        <w:rPr>
          <w:rFonts w:ascii="Arial" w:hAnsi="Arial" w:cs="Arial"/>
          <w:szCs w:val="20"/>
        </w:rPr>
        <w:t xml:space="preserve">) are all associated with confidential trading information that sharing with the Ombud and ultimately the Board (made up of other </w:t>
      </w:r>
      <w:r w:rsidRPr="00BC4004">
        <w:rPr>
          <w:rFonts w:ascii="Arial" w:hAnsi="Arial" w:cs="Arial"/>
          <w:szCs w:val="20"/>
        </w:rPr>
        <w:lastRenderedPageBreak/>
        <w:t>franchisees) would provide information that could be seen as material in gaining a competitive advantage in the industry.</w:t>
      </w:r>
    </w:p>
    <w:bookmarkEnd w:id="0"/>
    <w:p w14:paraId="60E7F467" w14:textId="77777777" w:rsidR="00BC4004" w:rsidRPr="00BC4004" w:rsidRDefault="00BC4004" w:rsidP="00787142">
      <w:pPr>
        <w:pStyle w:val="ListParagraph"/>
        <w:numPr>
          <w:ilvl w:val="0"/>
          <w:numId w:val="7"/>
        </w:numPr>
        <w:spacing w:line="312" w:lineRule="auto"/>
        <w:jc w:val="both"/>
        <w:rPr>
          <w:rFonts w:ascii="Arial" w:hAnsi="Arial" w:cs="Arial"/>
          <w:szCs w:val="20"/>
        </w:rPr>
      </w:pPr>
      <w:r w:rsidRPr="00BC4004">
        <w:rPr>
          <w:rFonts w:ascii="Arial" w:hAnsi="Arial" w:cs="Arial"/>
          <w:szCs w:val="20"/>
        </w:rPr>
        <w:t xml:space="preserve">The number of complaints has no bearing on the determination of a contribution levy, as the time frame nor the volume work load determines the remuneration scales of permanently employed personnel. </w:t>
      </w:r>
    </w:p>
    <w:p w14:paraId="3D980011" w14:textId="77777777" w:rsidR="00BC4004" w:rsidRDefault="00BC4004" w:rsidP="00787142">
      <w:pPr>
        <w:pStyle w:val="ListParagraph"/>
        <w:numPr>
          <w:ilvl w:val="0"/>
          <w:numId w:val="7"/>
        </w:numPr>
        <w:spacing w:line="312" w:lineRule="auto"/>
        <w:jc w:val="both"/>
        <w:rPr>
          <w:rFonts w:ascii="Arial" w:hAnsi="Arial" w:cs="Arial"/>
          <w:szCs w:val="20"/>
        </w:rPr>
      </w:pPr>
      <w:r w:rsidRPr="00BC4004">
        <w:rPr>
          <w:rFonts w:ascii="Arial" w:hAnsi="Arial" w:cs="Arial"/>
          <w:szCs w:val="20"/>
        </w:rPr>
        <w:t>The Operating costs and budget should be managed in line with an income stream and cash flow availability, and not merely have the contributions adjusted to cover costs, which is not a valid commercial practice and allows for potential mis-management of funds as well.</w:t>
      </w:r>
    </w:p>
    <w:p w14:paraId="0B474E31" w14:textId="77777777" w:rsidR="00602DED" w:rsidRPr="00BC4004" w:rsidRDefault="00602DED" w:rsidP="00602DED">
      <w:pPr>
        <w:pStyle w:val="ListParagraph"/>
        <w:spacing w:line="312" w:lineRule="auto"/>
        <w:ind w:left="1134"/>
        <w:jc w:val="both"/>
        <w:rPr>
          <w:rFonts w:ascii="Arial" w:hAnsi="Arial" w:cs="Arial"/>
          <w:szCs w:val="20"/>
        </w:rPr>
      </w:pPr>
    </w:p>
    <w:p w14:paraId="498F6240" w14:textId="77777777" w:rsidR="00BC4004" w:rsidRDefault="00686CC1" w:rsidP="00602DED">
      <w:pPr>
        <w:pStyle w:val="ListParagraph"/>
        <w:numPr>
          <w:ilvl w:val="0"/>
          <w:numId w:val="4"/>
        </w:numPr>
        <w:spacing w:line="312" w:lineRule="auto"/>
        <w:ind w:left="567" w:hanging="567"/>
        <w:jc w:val="both"/>
        <w:rPr>
          <w:rFonts w:ascii="Arial" w:hAnsi="Arial" w:cs="Arial"/>
          <w:b/>
          <w:szCs w:val="20"/>
        </w:rPr>
      </w:pPr>
      <w:r w:rsidRPr="00452D36">
        <w:rPr>
          <w:rFonts w:ascii="Arial" w:hAnsi="Arial" w:cs="Arial"/>
          <w:b/>
          <w:szCs w:val="20"/>
        </w:rPr>
        <w:t>THE FIO</w:t>
      </w:r>
    </w:p>
    <w:p w14:paraId="1CB910C9" w14:textId="77777777" w:rsidR="00602DED" w:rsidRPr="00452D36" w:rsidRDefault="00602DED" w:rsidP="00602DED">
      <w:pPr>
        <w:pStyle w:val="ListParagraph"/>
        <w:spacing w:line="312" w:lineRule="auto"/>
        <w:ind w:left="567"/>
        <w:jc w:val="both"/>
        <w:rPr>
          <w:rFonts w:ascii="Arial" w:hAnsi="Arial" w:cs="Arial"/>
          <w:b/>
          <w:szCs w:val="20"/>
        </w:rPr>
      </w:pPr>
    </w:p>
    <w:p w14:paraId="02C5B934" w14:textId="77777777" w:rsidR="00BC4004" w:rsidRPr="00BC4004" w:rsidRDefault="00BC4004" w:rsidP="00602DED">
      <w:pPr>
        <w:spacing w:line="312" w:lineRule="auto"/>
        <w:ind w:left="567"/>
        <w:contextualSpacing/>
        <w:jc w:val="both"/>
        <w:rPr>
          <w:rFonts w:ascii="Arial" w:hAnsi="Arial" w:cs="Arial"/>
          <w:szCs w:val="20"/>
        </w:rPr>
      </w:pPr>
      <w:r w:rsidRPr="00BC4004">
        <w:rPr>
          <w:rFonts w:ascii="Arial" w:hAnsi="Arial" w:cs="Arial"/>
          <w:szCs w:val="20"/>
        </w:rPr>
        <w:t xml:space="preserve">As per previously noted remarks the code as considered does not fulfil adequately the requirements of good governance. </w:t>
      </w:r>
    </w:p>
    <w:p w14:paraId="765EAC9F" w14:textId="77777777" w:rsidR="00BC4004" w:rsidRDefault="00686CC1" w:rsidP="00602DED">
      <w:pPr>
        <w:pStyle w:val="ListParagraph"/>
        <w:numPr>
          <w:ilvl w:val="0"/>
          <w:numId w:val="4"/>
        </w:numPr>
        <w:spacing w:line="312" w:lineRule="auto"/>
        <w:ind w:left="567" w:hanging="567"/>
        <w:jc w:val="both"/>
        <w:rPr>
          <w:rFonts w:ascii="Arial" w:hAnsi="Arial" w:cs="Arial"/>
          <w:b/>
          <w:szCs w:val="20"/>
        </w:rPr>
      </w:pPr>
      <w:r w:rsidRPr="00602DED">
        <w:rPr>
          <w:rFonts w:ascii="Arial" w:hAnsi="Arial" w:cs="Arial"/>
          <w:b/>
          <w:szCs w:val="20"/>
        </w:rPr>
        <w:t>THE FUNCTIONS OF THE FIO</w:t>
      </w:r>
    </w:p>
    <w:p w14:paraId="29113A77" w14:textId="77777777" w:rsidR="00602DED" w:rsidRPr="00602DED" w:rsidRDefault="00602DED" w:rsidP="00602DED">
      <w:pPr>
        <w:pStyle w:val="ListParagraph"/>
        <w:spacing w:line="312" w:lineRule="auto"/>
        <w:ind w:left="567"/>
        <w:jc w:val="both"/>
        <w:rPr>
          <w:rFonts w:ascii="Arial" w:hAnsi="Arial" w:cs="Arial"/>
          <w:b/>
          <w:szCs w:val="20"/>
        </w:rPr>
      </w:pPr>
    </w:p>
    <w:p w14:paraId="14FCA49A" w14:textId="77777777" w:rsidR="00BC4004" w:rsidRDefault="00BC4004" w:rsidP="00602DED">
      <w:pPr>
        <w:spacing w:line="312" w:lineRule="auto"/>
        <w:ind w:left="567"/>
        <w:contextualSpacing/>
        <w:jc w:val="both"/>
        <w:rPr>
          <w:rFonts w:ascii="Arial" w:hAnsi="Arial" w:cs="Arial"/>
          <w:szCs w:val="20"/>
        </w:rPr>
      </w:pPr>
      <w:r w:rsidRPr="00BC4004">
        <w:rPr>
          <w:rFonts w:ascii="Arial" w:hAnsi="Arial" w:cs="Arial"/>
          <w:szCs w:val="20"/>
        </w:rPr>
        <w:t xml:space="preserve">3.(f) the collection of gazetted funding systems is in law nothing less than a Taxation and therefore no private enterprise should be collecting a tax, (refer the Minister of the Environment vs REDISA) consequently the funding should be managed by the department and in line with the PFMA and not a Private bank account. </w:t>
      </w:r>
    </w:p>
    <w:p w14:paraId="3B43525B" w14:textId="77777777" w:rsidR="00602DED" w:rsidRPr="00BC4004" w:rsidRDefault="00602DED" w:rsidP="00BC4004">
      <w:pPr>
        <w:spacing w:line="312" w:lineRule="auto"/>
        <w:contextualSpacing/>
        <w:jc w:val="both"/>
        <w:rPr>
          <w:rFonts w:ascii="Arial" w:hAnsi="Arial" w:cs="Arial"/>
          <w:szCs w:val="20"/>
        </w:rPr>
      </w:pPr>
    </w:p>
    <w:p w14:paraId="20BB3F8F" w14:textId="77777777" w:rsidR="00BC4004" w:rsidRPr="00356A30" w:rsidRDefault="00BC4004" w:rsidP="00356A30">
      <w:pPr>
        <w:pStyle w:val="ListParagraph"/>
        <w:numPr>
          <w:ilvl w:val="0"/>
          <w:numId w:val="8"/>
        </w:numPr>
        <w:spacing w:line="312" w:lineRule="auto"/>
        <w:ind w:left="1134" w:hanging="567"/>
        <w:jc w:val="both"/>
        <w:rPr>
          <w:rFonts w:ascii="Arial" w:hAnsi="Arial" w:cs="Arial"/>
          <w:szCs w:val="20"/>
        </w:rPr>
      </w:pPr>
      <w:r w:rsidRPr="00356A30">
        <w:rPr>
          <w:rFonts w:ascii="Arial" w:hAnsi="Arial" w:cs="Arial"/>
          <w:szCs w:val="20"/>
        </w:rPr>
        <w:t>all expenses should be expended against the approved process by the Department of Trade, Industry and Competition.</w:t>
      </w:r>
    </w:p>
    <w:p w14:paraId="4A8203E6" w14:textId="77777777" w:rsidR="00BC4004" w:rsidRPr="00356A30" w:rsidRDefault="00BC4004" w:rsidP="00356A30">
      <w:pPr>
        <w:spacing w:line="312" w:lineRule="auto"/>
        <w:ind w:left="1134" w:hanging="567"/>
        <w:jc w:val="both"/>
        <w:rPr>
          <w:rFonts w:ascii="Arial" w:hAnsi="Arial" w:cs="Arial"/>
          <w:szCs w:val="20"/>
        </w:rPr>
      </w:pPr>
      <w:r w:rsidRPr="00356A30">
        <w:rPr>
          <w:rFonts w:ascii="Arial" w:hAnsi="Arial" w:cs="Arial"/>
          <w:szCs w:val="20"/>
        </w:rPr>
        <w:t xml:space="preserve">(m) </w:t>
      </w:r>
      <w:r w:rsidR="00356A30">
        <w:rPr>
          <w:rFonts w:ascii="Arial" w:hAnsi="Arial" w:cs="Arial"/>
          <w:szCs w:val="20"/>
        </w:rPr>
        <w:tab/>
      </w:r>
      <w:r w:rsidRPr="00356A30">
        <w:rPr>
          <w:rFonts w:ascii="Arial" w:hAnsi="Arial" w:cs="Arial"/>
          <w:szCs w:val="20"/>
        </w:rPr>
        <w:t>all financial reporting must and can only follow the requirements of the PFMA in line with the requirements of National Treasury.</w:t>
      </w:r>
    </w:p>
    <w:p w14:paraId="78DC7C2C" w14:textId="77777777" w:rsidR="00BC4004" w:rsidRPr="00356A30" w:rsidRDefault="00BC4004" w:rsidP="00356A30">
      <w:pPr>
        <w:tabs>
          <w:tab w:val="left" w:pos="1134"/>
        </w:tabs>
        <w:spacing w:line="312" w:lineRule="auto"/>
        <w:ind w:left="1134" w:hanging="567"/>
        <w:jc w:val="both"/>
        <w:rPr>
          <w:rFonts w:ascii="Arial" w:hAnsi="Arial" w:cs="Arial"/>
          <w:szCs w:val="20"/>
        </w:rPr>
      </w:pPr>
      <w:r w:rsidRPr="00356A30">
        <w:rPr>
          <w:rFonts w:ascii="Arial" w:hAnsi="Arial" w:cs="Arial"/>
          <w:szCs w:val="20"/>
        </w:rPr>
        <w:t xml:space="preserve">(n) </w:t>
      </w:r>
      <w:r w:rsidR="00356A30">
        <w:rPr>
          <w:rFonts w:ascii="Arial" w:hAnsi="Arial" w:cs="Arial"/>
          <w:szCs w:val="20"/>
        </w:rPr>
        <w:tab/>
      </w:r>
      <w:r w:rsidRPr="00356A30">
        <w:rPr>
          <w:rFonts w:ascii="Arial" w:hAnsi="Arial" w:cs="Arial"/>
          <w:szCs w:val="20"/>
        </w:rPr>
        <w:t>all financial reporting must and can only follow the requirements of the PFMA in line with the requirements of National Treasury.</w:t>
      </w:r>
    </w:p>
    <w:p w14:paraId="3D949A39" w14:textId="77777777" w:rsidR="00BC4004" w:rsidRPr="00356A30" w:rsidRDefault="00BC4004" w:rsidP="00356A30">
      <w:pPr>
        <w:tabs>
          <w:tab w:val="left" w:pos="1134"/>
        </w:tabs>
        <w:spacing w:line="312" w:lineRule="auto"/>
        <w:ind w:left="1134" w:hanging="567"/>
        <w:jc w:val="both"/>
        <w:rPr>
          <w:rFonts w:ascii="Arial" w:hAnsi="Arial" w:cs="Arial"/>
          <w:szCs w:val="20"/>
        </w:rPr>
      </w:pPr>
      <w:r w:rsidRPr="00356A30">
        <w:rPr>
          <w:rFonts w:ascii="Arial" w:hAnsi="Arial" w:cs="Arial"/>
          <w:szCs w:val="20"/>
        </w:rPr>
        <w:t xml:space="preserve">(o) </w:t>
      </w:r>
      <w:r w:rsidR="00356A30">
        <w:rPr>
          <w:rFonts w:ascii="Arial" w:hAnsi="Arial" w:cs="Arial"/>
          <w:szCs w:val="20"/>
        </w:rPr>
        <w:tab/>
      </w:r>
      <w:r w:rsidRPr="00356A30">
        <w:rPr>
          <w:rFonts w:ascii="Arial" w:hAnsi="Arial" w:cs="Arial"/>
          <w:szCs w:val="20"/>
        </w:rPr>
        <w:t>all financial reporting must and can only follow the requirements of the PFMA in line with the requirements of National Treasury.</w:t>
      </w:r>
    </w:p>
    <w:p w14:paraId="08ED4877" w14:textId="77777777" w:rsidR="00BC4004" w:rsidRPr="0019372E" w:rsidRDefault="00BC4004" w:rsidP="0019372E">
      <w:pPr>
        <w:pStyle w:val="ListParagraph"/>
        <w:numPr>
          <w:ilvl w:val="0"/>
          <w:numId w:val="9"/>
        </w:numPr>
        <w:spacing w:line="312" w:lineRule="auto"/>
        <w:ind w:left="1134" w:hanging="567"/>
        <w:jc w:val="both"/>
        <w:rPr>
          <w:rFonts w:ascii="Arial" w:hAnsi="Arial" w:cs="Arial"/>
          <w:szCs w:val="20"/>
        </w:rPr>
      </w:pPr>
      <w:r w:rsidRPr="0019372E">
        <w:rPr>
          <w:rFonts w:ascii="Arial" w:hAnsi="Arial" w:cs="Arial"/>
          <w:szCs w:val="20"/>
        </w:rPr>
        <w:t>all financial reporting must and can only follow the requirements of the PFMA in line with the requirements of National Treasury.</w:t>
      </w:r>
    </w:p>
    <w:p w14:paraId="1201A2D9" w14:textId="77777777" w:rsidR="00BC4004" w:rsidRPr="00BC4004" w:rsidRDefault="00BC4004" w:rsidP="00BC4004">
      <w:pPr>
        <w:spacing w:line="312" w:lineRule="auto"/>
        <w:contextualSpacing/>
        <w:jc w:val="both"/>
        <w:rPr>
          <w:rFonts w:ascii="Arial" w:hAnsi="Arial" w:cs="Arial"/>
          <w:szCs w:val="20"/>
        </w:rPr>
      </w:pPr>
      <w:r w:rsidRPr="00BC4004">
        <w:rPr>
          <w:rFonts w:ascii="Arial" w:hAnsi="Arial" w:cs="Arial"/>
          <w:szCs w:val="20"/>
        </w:rPr>
        <w:t> </w:t>
      </w:r>
    </w:p>
    <w:p w14:paraId="63D11959" w14:textId="77777777" w:rsidR="00BC4004" w:rsidRDefault="00686CC1" w:rsidP="0019372E">
      <w:pPr>
        <w:pStyle w:val="ListParagraph"/>
        <w:numPr>
          <w:ilvl w:val="0"/>
          <w:numId w:val="4"/>
        </w:numPr>
        <w:spacing w:line="312" w:lineRule="auto"/>
        <w:ind w:left="567" w:hanging="567"/>
        <w:jc w:val="both"/>
        <w:rPr>
          <w:rFonts w:ascii="Arial" w:hAnsi="Arial" w:cs="Arial"/>
          <w:b/>
          <w:szCs w:val="20"/>
        </w:rPr>
      </w:pPr>
      <w:r w:rsidRPr="00452D36">
        <w:rPr>
          <w:rFonts w:ascii="Arial" w:hAnsi="Arial" w:cs="Arial"/>
          <w:b/>
          <w:szCs w:val="20"/>
        </w:rPr>
        <w:t>4 THE FIO MUST</w:t>
      </w:r>
    </w:p>
    <w:p w14:paraId="67C66636" w14:textId="77777777" w:rsidR="0019372E" w:rsidRPr="00452D36" w:rsidRDefault="0019372E" w:rsidP="0019372E">
      <w:pPr>
        <w:pStyle w:val="ListParagraph"/>
        <w:spacing w:line="312" w:lineRule="auto"/>
        <w:ind w:left="567"/>
        <w:jc w:val="both"/>
        <w:rPr>
          <w:rFonts w:ascii="Arial" w:hAnsi="Arial" w:cs="Arial"/>
          <w:b/>
          <w:szCs w:val="20"/>
        </w:rPr>
      </w:pPr>
    </w:p>
    <w:p w14:paraId="414C21A0" w14:textId="77777777" w:rsidR="00BC4004" w:rsidRPr="0019372E" w:rsidRDefault="00BC4004" w:rsidP="0019372E">
      <w:pPr>
        <w:pStyle w:val="ListParagraph"/>
        <w:numPr>
          <w:ilvl w:val="2"/>
          <w:numId w:val="4"/>
        </w:numPr>
        <w:spacing w:line="312" w:lineRule="auto"/>
        <w:ind w:left="1134" w:hanging="567"/>
        <w:jc w:val="both"/>
        <w:rPr>
          <w:rFonts w:ascii="Arial" w:hAnsi="Arial" w:cs="Arial"/>
          <w:szCs w:val="20"/>
        </w:rPr>
      </w:pPr>
      <w:r w:rsidRPr="0019372E">
        <w:rPr>
          <w:rFonts w:ascii="Arial" w:hAnsi="Arial" w:cs="Arial"/>
          <w:szCs w:val="20"/>
        </w:rPr>
        <w:t>Public funds cannot be used for investment purposes, this is exactly why the PFMA is in place to manage fiduciary processes in line with approved governance guidelines</w:t>
      </w:r>
    </w:p>
    <w:p w14:paraId="20B2C235" w14:textId="77777777" w:rsidR="00BC4004" w:rsidRPr="00BC4004" w:rsidRDefault="00BC4004" w:rsidP="0019372E">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t>There should be no need for a Bank account as all salaries and other expenses must be channelled through the Department in line with the PFMA.</w:t>
      </w:r>
    </w:p>
    <w:p w14:paraId="04D11EE2" w14:textId="77777777" w:rsidR="00BC4004" w:rsidRPr="00BC4004" w:rsidRDefault="00BC4004" w:rsidP="0019372E">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t xml:space="preserve">Promotion and awareness campaigns must be managed within budgets </w:t>
      </w:r>
    </w:p>
    <w:p w14:paraId="659A7D58" w14:textId="77777777" w:rsidR="00BC4004" w:rsidRPr="00BC4004" w:rsidRDefault="00BC4004" w:rsidP="0019372E">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t>Procurement of external services and functions must be managed within budget and funded directly from the Department of Trade Industries and Competition.</w:t>
      </w:r>
    </w:p>
    <w:p w14:paraId="72C7907A" w14:textId="77777777" w:rsidR="00BC4004" w:rsidRPr="00BC4004" w:rsidRDefault="00BC4004" w:rsidP="0019372E">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t xml:space="preserve">Under no circumstance can authority be directly vested in the Ombud to unilaterally acquire or dispose of property </w:t>
      </w:r>
    </w:p>
    <w:p w14:paraId="6CFE8DA8" w14:textId="77777777" w:rsidR="00BC4004" w:rsidRPr="00BC4004" w:rsidRDefault="00BC4004" w:rsidP="00686CC1">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lastRenderedPageBreak/>
        <w:t>The Ombud must be insured against the same profile as the government departments are covered</w:t>
      </w:r>
    </w:p>
    <w:p w14:paraId="7C8D5140" w14:textId="77777777" w:rsidR="00BC4004" w:rsidRPr="00BC4004" w:rsidRDefault="00BC4004" w:rsidP="00686CC1">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t>The determination of appointment must follow approved Government HR procedures in all respects</w:t>
      </w:r>
    </w:p>
    <w:p w14:paraId="547301C1" w14:textId="77777777" w:rsidR="00BC4004" w:rsidRDefault="00BC4004" w:rsidP="00686CC1">
      <w:pPr>
        <w:pStyle w:val="ListParagraph"/>
        <w:numPr>
          <w:ilvl w:val="2"/>
          <w:numId w:val="4"/>
        </w:numPr>
        <w:spacing w:line="312" w:lineRule="auto"/>
        <w:ind w:left="1134" w:hanging="567"/>
        <w:jc w:val="both"/>
        <w:rPr>
          <w:rFonts w:ascii="Arial" w:hAnsi="Arial" w:cs="Arial"/>
          <w:szCs w:val="20"/>
        </w:rPr>
      </w:pPr>
      <w:r w:rsidRPr="00BC4004">
        <w:rPr>
          <w:rFonts w:ascii="Arial" w:hAnsi="Arial" w:cs="Arial"/>
          <w:szCs w:val="20"/>
        </w:rPr>
        <w:t>The broad context of “do anything necessary” is not in line with good governance objectives</w:t>
      </w:r>
    </w:p>
    <w:p w14:paraId="5B172C8B" w14:textId="77777777" w:rsidR="00686CC1" w:rsidRPr="00BC4004" w:rsidRDefault="00686CC1" w:rsidP="00686CC1">
      <w:pPr>
        <w:pStyle w:val="ListParagraph"/>
        <w:spacing w:line="312" w:lineRule="auto"/>
        <w:ind w:left="1134"/>
        <w:jc w:val="both"/>
        <w:rPr>
          <w:rFonts w:ascii="Arial" w:hAnsi="Arial" w:cs="Arial"/>
          <w:szCs w:val="20"/>
        </w:rPr>
      </w:pPr>
    </w:p>
    <w:p w14:paraId="2314ABC3" w14:textId="77777777" w:rsidR="00BC4004" w:rsidRDefault="00686CC1" w:rsidP="00686CC1">
      <w:pPr>
        <w:pStyle w:val="ListParagraph"/>
        <w:numPr>
          <w:ilvl w:val="0"/>
          <w:numId w:val="4"/>
        </w:numPr>
        <w:spacing w:line="312" w:lineRule="auto"/>
        <w:ind w:left="567" w:hanging="567"/>
        <w:jc w:val="both"/>
        <w:rPr>
          <w:rFonts w:ascii="Arial" w:hAnsi="Arial" w:cs="Arial"/>
          <w:b/>
          <w:szCs w:val="20"/>
        </w:rPr>
      </w:pPr>
      <w:r>
        <w:rPr>
          <w:rFonts w:ascii="Arial" w:hAnsi="Arial" w:cs="Arial"/>
          <w:b/>
          <w:szCs w:val="20"/>
        </w:rPr>
        <w:t>T</w:t>
      </w:r>
      <w:r w:rsidRPr="00686CC1">
        <w:rPr>
          <w:rFonts w:ascii="Arial" w:hAnsi="Arial" w:cs="Arial"/>
          <w:b/>
          <w:szCs w:val="20"/>
        </w:rPr>
        <w:t>HE ACCOUNTING AUTHORITY</w:t>
      </w:r>
    </w:p>
    <w:p w14:paraId="6B0E1474" w14:textId="77777777" w:rsidR="00686CC1" w:rsidRPr="00686CC1" w:rsidRDefault="00686CC1" w:rsidP="00686CC1">
      <w:pPr>
        <w:pStyle w:val="ListParagraph"/>
        <w:spacing w:line="312" w:lineRule="auto"/>
        <w:ind w:left="567"/>
        <w:jc w:val="both"/>
        <w:rPr>
          <w:rFonts w:ascii="Arial" w:hAnsi="Arial" w:cs="Arial"/>
          <w:b/>
          <w:szCs w:val="20"/>
        </w:rPr>
      </w:pPr>
    </w:p>
    <w:p w14:paraId="1633A453" w14:textId="77777777" w:rsidR="00BC4004" w:rsidRDefault="00BC4004" w:rsidP="00686CC1">
      <w:pPr>
        <w:spacing w:line="312" w:lineRule="auto"/>
        <w:ind w:left="567"/>
        <w:contextualSpacing/>
        <w:jc w:val="both"/>
        <w:rPr>
          <w:rFonts w:ascii="Arial" w:hAnsi="Arial" w:cs="Arial"/>
          <w:szCs w:val="20"/>
        </w:rPr>
      </w:pPr>
      <w:r w:rsidRPr="00BC4004">
        <w:rPr>
          <w:rFonts w:ascii="Arial" w:hAnsi="Arial" w:cs="Arial"/>
          <w:szCs w:val="20"/>
        </w:rPr>
        <w:t>IS to be reliant on accepted government practices</w:t>
      </w:r>
    </w:p>
    <w:p w14:paraId="0C75CD95" w14:textId="77777777" w:rsidR="00686CC1" w:rsidRPr="00BC4004" w:rsidRDefault="00686CC1" w:rsidP="00686CC1">
      <w:pPr>
        <w:tabs>
          <w:tab w:val="left" w:pos="709"/>
        </w:tabs>
        <w:spacing w:line="312" w:lineRule="auto"/>
        <w:contextualSpacing/>
        <w:jc w:val="both"/>
        <w:rPr>
          <w:rFonts w:ascii="Arial" w:hAnsi="Arial" w:cs="Arial"/>
          <w:szCs w:val="20"/>
        </w:rPr>
      </w:pPr>
    </w:p>
    <w:p w14:paraId="1E5C8601" w14:textId="77777777" w:rsidR="00BC4004" w:rsidRDefault="00686CC1" w:rsidP="00686CC1">
      <w:pPr>
        <w:pStyle w:val="ListParagraph"/>
        <w:numPr>
          <w:ilvl w:val="0"/>
          <w:numId w:val="4"/>
        </w:numPr>
        <w:spacing w:line="312" w:lineRule="auto"/>
        <w:ind w:left="567" w:hanging="567"/>
        <w:jc w:val="both"/>
        <w:rPr>
          <w:rFonts w:ascii="Arial" w:hAnsi="Arial" w:cs="Arial"/>
          <w:b/>
          <w:szCs w:val="20"/>
        </w:rPr>
      </w:pPr>
      <w:r w:rsidRPr="00686CC1">
        <w:rPr>
          <w:rFonts w:ascii="Arial" w:hAnsi="Arial" w:cs="Arial"/>
          <w:b/>
          <w:szCs w:val="20"/>
        </w:rPr>
        <w:t>FUNDING OF THE OMBUD</w:t>
      </w:r>
    </w:p>
    <w:p w14:paraId="5E8D8E2B" w14:textId="77777777" w:rsidR="00686CC1" w:rsidRPr="00686CC1" w:rsidRDefault="00686CC1" w:rsidP="00686CC1">
      <w:pPr>
        <w:pStyle w:val="ListParagraph"/>
        <w:spacing w:line="312" w:lineRule="auto"/>
        <w:ind w:left="567"/>
        <w:jc w:val="both"/>
        <w:rPr>
          <w:rFonts w:ascii="Arial" w:hAnsi="Arial" w:cs="Arial"/>
          <w:b/>
          <w:szCs w:val="20"/>
        </w:rPr>
      </w:pPr>
    </w:p>
    <w:p w14:paraId="7793F9D9" w14:textId="77777777" w:rsidR="00BC4004" w:rsidRPr="00E3432C" w:rsidRDefault="00BC4004" w:rsidP="00E3432C">
      <w:pPr>
        <w:pStyle w:val="ListParagraph"/>
        <w:numPr>
          <w:ilvl w:val="0"/>
          <w:numId w:val="10"/>
        </w:numPr>
        <w:spacing w:line="312" w:lineRule="auto"/>
        <w:ind w:left="1134" w:hanging="567"/>
        <w:jc w:val="both"/>
        <w:rPr>
          <w:rFonts w:ascii="Arial" w:hAnsi="Arial" w:cs="Arial"/>
          <w:szCs w:val="20"/>
        </w:rPr>
      </w:pPr>
      <w:r w:rsidRPr="00E3432C">
        <w:rPr>
          <w:rFonts w:ascii="Arial" w:hAnsi="Arial" w:cs="Arial"/>
          <w:szCs w:val="20"/>
        </w:rPr>
        <w:t>The financing model must be reliant on an approved budget within the Department objectives.</w:t>
      </w:r>
    </w:p>
    <w:p w14:paraId="02E4E37C" w14:textId="77777777" w:rsidR="00BC4004" w:rsidRPr="00BC4004" w:rsidRDefault="00BC4004" w:rsidP="00E3432C">
      <w:pPr>
        <w:pStyle w:val="ListParagraph"/>
        <w:numPr>
          <w:ilvl w:val="0"/>
          <w:numId w:val="10"/>
        </w:numPr>
        <w:spacing w:line="312" w:lineRule="auto"/>
        <w:ind w:left="1134" w:hanging="567"/>
        <w:jc w:val="both"/>
        <w:rPr>
          <w:rFonts w:ascii="Arial" w:hAnsi="Arial" w:cs="Arial"/>
          <w:szCs w:val="20"/>
        </w:rPr>
      </w:pPr>
      <w:r w:rsidRPr="00BC4004">
        <w:rPr>
          <w:rFonts w:ascii="Arial" w:hAnsi="Arial" w:cs="Arial"/>
          <w:szCs w:val="20"/>
        </w:rPr>
        <w:t xml:space="preserve">The contributions cannot be allowed to adjust according to need the operations must be contained within a budget. </w:t>
      </w:r>
    </w:p>
    <w:p w14:paraId="21F7C405" w14:textId="77777777" w:rsidR="00BC4004" w:rsidRDefault="00BC4004" w:rsidP="00E3432C">
      <w:pPr>
        <w:pStyle w:val="ListParagraph"/>
        <w:numPr>
          <w:ilvl w:val="0"/>
          <w:numId w:val="10"/>
        </w:numPr>
        <w:spacing w:line="312" w:lineRule="auto"/>
        <w:ind w:left="1134" w:hanging="567"/>
        <w:jc w:val="both"/>
        <w:rPr>
          <w:rFonts w:ascii="Arial" w:hAnsi="Arial" w:cs="Arial"/>
          <w:szCs w:val="20"/>
        </w:rPr>
      </w:pPr>
      <w:r w:rsidRPr="00BC4004">
        <w:rPr>
          <w:rFonts w:ascii="Arial" w:hAnsi="Arial" w:cs="Arial"/>
          <w:szCs w:val="20"/>
        </w:rPr>
        <w:t xml:space="preserve">No investment opportunity can exist for the Ombud. </w:t>
      </w:r>
    </w:p>
    <w:p w14:paraId="3927C198" w14:textId="77777777" w:rsidR="00E3432C" w:rsidRPr="00BC4004" w:rsidRDefault="00E3432C" w:rsidP="00E3432C">
      <w:pPr>
        <w:pStyle w:val="ListParagraph"/>
        <w:spacing w:line="312" w:lineRule="auto"/>
        <w:ind w:left="1134"/>
        <w:jc w:val="both"/>
        <w:rPr>
          <w:rFonts w:ascii="Arial" w:hAnsi="Arial" w:cs="Arial"/>
          <w:szCs w:val="20"/>
        </w:rPr>
      </w:pPr>
    </w:p>
    <w:p w14:paraId="453AC387" w14:textId="77777777" w:rsidR="00E3432C" w:rsidRDefault="00E3432C" w:rsidP="00BC4004">
      <w:pPr>
        <w:pStyle w:val="ListParagraph"/>
        <w:numPr>
          <w:ilvl w:val="0"/>
          <w:numId w:val="4"/>
        </w:numPr>
        <w:spacing w:line="312" w:lineRule="auto"/>
        <w:ind w:left="567" w:hanging="567"/>
        <w:jc w:val="both"/>
        <w:rPr>
          <w:rFonts w:ascii="Arial" w:hAnsi="Arial" w:cs="Arial"/>
          <w:b/>
          <w:szCs w:val="20"/>
        </w:rPr>
      </w:pPr>
      <w:r w:rsidRPr="00E3432C">
        <w:rPr>
          <w:rFonts w:ascii="Arial" w:hAnsi="Arial" w:cs="Arial"/>
          <w:b/>
          <w:szCs w:val="20"/>
        </w:rPr>
        <w:t>JURISDICTION</w:t>
      </w:r>
    </w:p>
    <w:p w14:paraId="7A6BEDAD" w14:textId="77777777" w:rsidR="00E3432C" w:rsidRDefault="00E3432C" w:rsidP="00E3432C">
      <w:pPr>
        <w:pStyle w:val="ListParagraph"/>
        <w:spacing w:line="312" w:lineRule="auto"/>
        <w:ind w:left="567"/>
        <w:jc w:val="both"/>
        <w:rPr>
          <w:rFonts w:ascii="Arial" w:hAnsi="Arial" w:cs="Arial"/>
          <w:b/>
          <w:szCs w:val="20"/>
        </w:rPr>
      </w:pPr>
    </w:p>
    <w:p w14:paraId="198A0BAC" w14:textId="77777777" w:rsidR="00BC4004" w:rsidRPr="00E3432C" w:rsidRDefault="00BC4004" w:rsidP="00E3432C">
      <w:pPr>
        <w:spacing w:line="312" w:lineRule="auto"/>
        <w:ind w:left="567"/>
        <w:jc w:val="both"/>
        <w:rPr>
          <w:rFonts w:ascii="Arial" w:hAnsi="Arial" w:cs="Arial"/>
          <w:b/>
          <w:szCs w:val="20"/>
        </w:rPr>
      </w:pPr>
      <w:r w:rsidRPr="00E3432C">
        <w:rPr>
          <w:rFonts w:ascii="Arial" w:hAnsi="Arial" w:cs="Arial"/>
          <w:szCs w:val="20"/>
        </w:rPr>
        <w:t>The MIOSA must take precedence over the FIO</w:t>
      </w:r>
    </w:p>
    <w:p w14:paraId="5FEE88D8" w14:textId="77777777" w:rsidR="00BC4004" w:rsidRPr="00BC4004" w:rsidRDefault="00BC4004" w:rsidP="00BC4004">
      <w:pPr>
        <w:spacing w:line="312" w:lineRule="auto"/>
        <w:contextualSpacing/>
        <w:jc w:val="both"/>
        <w:rPr>
          <w:rFonts w:ascii="Arial" w:hAnsi="Arial" w:cs="Arial"/>
          <w:szCs w:val="20"/>
        </w:rPr>
      </w:pPr>
    </w:p>
    <w:p w14:paraId="5D04AB9F" w14:textId="77777777" w:rsidR="00BC4004" w:rsidRDefault="00E3432C" w:rsidP="00E3432C">
      <w:pPr>
        <w:pStyle w:val="ListParagraph"/>
        <w:numPr>
          <w:ilvl w:val="0"/>
          <w:numId w:val="4"/>
        </w:numPr>
        <w:spacing w:line="312" w:lineRule="auto"/>
        <w:ind w:left="567" w:hanging="567"/>
        <w:jc w:val="both"/>
        <w:rPr>
          <w:rFonts w:ascii="Arial" w:hAnsi="Arial" w:cs="Arial"/>
          <w:b/>
          <w:szCs w:val="20"/>
        </w:rPr>
      </w:pPr>
      <w:r w:rsidRPr="00E3432C">
        <w:rPr>
          <w:rFonts w:ascii="Arial" w:hAnsi="Arial" w:cs="Arial"/>
          <w:b/>
          <w:szCs w:val="20"/>
        </w:rPr>
        <w:t xml:space="preserve">SCHEDULE 1 </w:t>
      </w:r>
    </w:p>
    <w:p w14:paraId="1738D4D8" w14:textId="77777777" w:rsidR="00E3432C" w:rsidRPr="00E3432C" w:rsidRDefault="00E3432C" w:rsidP="00E3432C">
      <w:pPr>
        <w:pStyle w:val="ListParagraph"/>
        <w:spacing w:line="312" w:lineRule="auto"/>
        <w:ind w:left="567"/>
        <w:jc w:val="both"/>
        <w:rPr>
          <w:rFonts w:ascii="Arial" w:hAnsi="Arial" w:cs="Arial"/>
          <w:b/>
          <w:szCs w:val="20"/>
        </w:rPr>
      </w:pPr>
    </w:p>
    <w:p w14:paraId="7A4A3363" w14:textId="77777777" w:rsidR="00BC4004" w:rsidRPr="00BC4004" w:rsidRDefault="00BC4004" w:rsidP="00E3432C">
      <w:pPr>
        <w:spacing w:line="312" w:lineRule="auto"/>
        <w:ind w:left="567"/>
        <w:contextualSpacing/>
        <w:jc w:val="both"/>
        <w:rPr>
          <w:rFonts w:ascii="Arial" w:hAnsi="Arial" w:cs="Arial"/>
          <w:szCs w:val="20"/>
        </w:rPr>
      </w:pPr>
      <w:r w:rsidRPr="00BC4004">
        <w:rPr>
          <w:rFonts w:ascii="Arial" w:hAnsi="Arial" w:cs="Arial"/>
          <w:szCs w:val="20"/>
        </w:rPr>
        <w:t>The establishment of the FIO is a direct result of FASA and its own clear lack of ability to address the issues within their franchise membership, as well as to formally illicit a fee from the Non-members of FASA, in an attempt to provide a level field and a further source of income in place of FASA itself.</w:t>
      </w:r>
    </w:p>
    <w:p w14:paraId="0BA263C4" w14:textId="77777777" w:rsidR="00BC4004" w:rsidRPr="00BC4004" w:rsidRDefault="00BC4004" w:rsidP="00E3432C">
      <w:pPr>
        <w:spacing w:line="312" w:lineRule="auto"/>
        <w:ind w:left="567"/>
        <w:contextualSpacing/>
        <w:jc w:val="both"/>
        <w:rPr>
          <w:rFonts w:ascii="Arial" w:hAnsi="Arial" w:cs="Arial"/>
          <w:szCs w:val="20"/>
        </w:rPr>
      </w:pPr>
    </w:p>
    <w:p w14:paraId="6FDA00FC" w14:textId="77777777" w:rsidR="00BC4004" w:rsidRPr="00BC4004" w:rsidRDefault="00BC4004" w:rsidP="00E3432C">
      <w:pPr>
        <w:spacing w:line="312" w:lineRule="auto"/>
        <w:ind w:left="567"/>
        <w:contextualSpacing/>
        <w:jc w:val="both"/>
        <w:rPr>
          <w:rFonts w:ascii="Arial" w:hAnsi="Arial" w:cs="Arial"/>
          <w:szCs w:val="20"/>
        </w:rPr>
      </w:pPr>
      <w:r w:rsidRPr="00BC4004">
        <w:rPr>
          <w:rFonts w:ascii="Arial" w:hAnsi="Arial" w:cs="Arial"/>
          <w:szCs w:val="20"/>
        </w:rPr>
        <w:t xml:space="preserve">There cannot be any functional reason to support this proposal under the current construct of the code. Especially where loans are entered into by a Public organisation with a Private company. </w:t>
      </w:r>
    </w:p>
    <w:p w14:paraId="1964B8E3" w14:textId="77777777" w:rsidR="00BC4004" w:rsidRPr="00BC4004" w:rsidRDefault="00BC4004" w:rsidP="00E3432C">
      <w:pPr>
        <w:spacing w:line="312" w:lineRule="auto"/>
        <w:ind w:left="567"/>
        <w:contextualSpacing/>
        <w:jc w:val="both"/>
        <w:rPr>
          <w:rFonts w:ascii="Arial" w:hAnsi="Arial" w:cs="Arial"/>
          <w:szCs w:val="20"/>
        </w:rPr>
      </w:pPr>
    </w:p>
    <w:p w14:paraId="4815A153" w14:textId="77777777" w:rsidR="00BC4004" w:rsidRPr="00BC4004" w:rsidRDefault="00BC4004" w:rsidP="00E3432C">
      <w:pPr>
        <w:spacing w:line="312" w:lineRule="auto"/>
        <w:ind w:left="567"/>
        <w:contextualSpacing/>
        <w:jc w:val="both"/>
        <w:rPr>
          <w:rFonts w:ascii="Arial" w:hAnsi="Arial" w:cs="Arial"/>
          <w:szCs w:val="20"/>
        </w:rPr>
      </w:pPr>
      <w:r w:rsidRPr="00BC4004">
        <w:rPr>
          <w:rFonts w:ascii="Arial" w:hAnsi="Arial" w:cs="Arial"/>
          <w:szCs w:val="20"/>
        </w:rPr>
        <w:t>The levels of influence are not in any way commensurate with either King or PFMA constraint of good governance.</w:t>
      </w:r>
    </w:p>
    <w:p w14:paraId="00DAC439" w14:textId="77777777" w:rsidR="00D25F8B" w:rsidRPr="00BC4004" w:rsidRDefault="00943657" w:rsidP="00BC4004">
      <w:pPr>
        <w:spacing w:line="312" w:lineRule="auto"/>
        <w:contextualSpacing/>
        <w:jc w:val="both"/>
        <w:rPr>
          <w:rFonts w:ascii="Arial" w:hAnsi="Arial" w:cs="Arial"/>
          <w:szCs w:val="20"/>
        </w:rPr>
      </w:pPr>
      <w:r w:rsidRPr="00BC4004">
        <w:rPr>
          <w:rFonts w:ascii="Arial" w:hAnsi="Arial" w:cs="Arial"/>
          <w:b/>
          <w:szCs w:val="20"/>
          <w:u w:val="single"/>
        </w:rPr>
        <w:t> </w:t>
      </w:r>
    </w:p>
    <w:p w14:paraId="63A674BA" w14:textId="77777777" w:rsidR="009C53E4" w:rsidRPr="00BC4004" w:rsidRDefault="009C53E4" w:rsidP="00BC4004">
      <w:pPr>
        <w:spacing w:line="312" w:lineRule="auto"/>
        <w:contextualSpacing/>
        <w:jc w:val="both"/>
        <w:rPr>
          <w:rFonts w:ascii="Arial" w:hAnsi="Arial" w:cs="Arial"/>
          <w:szCs w:val="20"/>
        </w:rPr>
      </w:pPr>
      <w:r w:rsidRPr="00BC4004">
        <w:rPr>
          <w:rFonts w:ascii="Arial" w:hAnsi="Arial" w:cs="Arial"/>
          <w:szCs w:val="20"/>
        </w:rPr>
        <w:t xml:space="preserve">Yours faithfully </w:t>
      </w:r>
    </w:p>
    <w:p w14:paraId="03D9025B" w14:textId="73FAE38C" w:rsidR="009C53E4" w:rsidRDefault="009C53E4" w:rsidP="00BC4004">
      <w:pPr>
        <w:spacing w:line="312" w:lineRule="auto"/>
        <w:contextualSpacing/>
        <w:jc w:val="both"/>
        <w:rPr>
          <w:rFonts w:ascii="Arial" w:hAnsi="Arial" w:cs="Arial"/>
          <w:szCs w:val="20"/>
        </w:rPr>
      </w:pPr>
    </w:p>
    <w:p w14:paraId="7AF878A7" w14:textId="2939962E" w:rsidR="00787142" w:rsidRDefault="00787142" w:rsidP="00BC4004">
      <w:pPr>
        <w:spacing w:line="312" w:lineRule="auto"/>
        <w:contextualSpacing/>
        <w:jc w:val="both"/>
        <w:rPr>
          <w:rFonts w:ascii="Arial" w:hAnsi="Arial" w:cs="Arial"/>
          <w:szCs w:val="20"/>
        </w:rPr>
      </w:pPr>
    </w:p>
    <w:p w14:paraId="674D67F0" w14:textId="77777777" w:rsidR="00787142" w:rsidRPr="00BC4004" w:rsidRDefault="00787142" w:rsidP="00BC4004">
      <w:pPr>
        <w:spacing w:line="312" w:lineRule="auto"/>
        <w:contextualSpacing/>
        <w:jc w:val="both"/>
        <w:rPr>
          <w:rFonts w:ascii="Arial" w:hAnsi="Arial" w:cs="Arial"/>
          <w:szCs w:val="20"/>
        </w:rPr>
      </w:pPr>
    </w:p>
    <w:p w14:paraId="373C0286" w14:textId="77777777" w:rsidR="009C53E4" w:rsidRPr="00BC4004" w:rsidRDefault="009C53E4" w:rsidP="00BC4004">
      <w:pPr>
        <w:spacing w:line="312" w:lineRule="auto"/>
        <w:contextualSpacing/>
        <w:jc w:val="both"/>
        <w:rPr>
          <w:rFonts w:ascii="Arial" w:hAnsi="Arial" w:cs="Arial"/>
          <w:szCs w:val="20"/>
        </w:rPr>
      </w:pPr>
      <w:r w:rsidRPr="00BC4004">
        <w:rPr>
          <w:rFonts w:ascii="Arial" w:hAnsi="Arial" w:cs="Arial"/>
          <w:szCs w:val="20"/>
        </w:rPr>
        <w:t>Hedley Judd</w:t>
      </w:r>
    </w:p>
    <w:p w14:paraId="1439A1A1" w14:textId="77777777" w:rsidR="009C53E4" w:rsidRPr="00BC4004" w:rsidRDefault="009C53E4" w:rsidP="00BC4004">
      <w:pPr>
        <w:spacing w:line="312" w:lineRule="auto"/>
        <w:contextualSpacing/>
        <w:jc w:val="both"/>
        <w:rPr>
          <w:rFonts w:ascii="Arial" w:hAnsi="Arial" w:cs="Arial"/>
          <w:szCs w:val="20"/>
        </w:rPr>
      </w:pPr>
      <w:r w:rsidRPr="00BC4004">
        <w:rPr>
          <w:rFonts w:ascii="Arial" w:hAnsi="Arial" w:cs="Arial"/>
          <w:szCs w:val="20"/>
        </w:rPr>
        <w:t xml:space="preserve">National Director </w:t>
      </w:r>
    </w:p>
    <w:p w14:paraId="3C99F0E9" w14:textId="219C0C79" w:rsidR="00F11594" w:rsidRPr="00F2655D" w:rsidRDefault="009C53E4" w:rsidP="00787142">
      <w:pPr>
        <w:spacing w:line="312" w:lineRule="auto"/>
        <w:contextualSpacing/>
        <w:jc w:val="both"/>
        <w:rPr>
          <w:rFonts w:ascii="Arial" w:hAnsi="Arial" w:cs="Arial"/>
          <w:szCs w:val="20"/>
        </w:rPr>
      </w:pPr>
      <w:r w:rsidRPr="00BC4004">
        <w:rPr>
          <w:rFonts w:ascii="Arial" w:hAnsi="Arial" w:cs="Arial"/>
          <w:szCs w:val="20"/>
        </w:rPr>
        <w:t>Tyre Equipment Parts Association</w:t>
      </w:r>
    </w:p>
    <w:sectPr w:rsidR="00F11594" w:rsidRPr="00F2655D" w:rsidSect="000F4CF2">
      <w:headerReference w:type="default" r:id="rId8"/>
      <w:footerReference w:type="default" r:id="rId9"/>
      <w:headerReference w:type="first" r:id="rId10"/>
      <w:footerReference w:type="first" r:id="rId11"/>
      <w:pgSz w:w="11906" w:h="16838" w:code="9"/>
      <w:pgMar w:top="2977" w:right="1276" w:bottom="993" w:left="1440" w:header="709" w:footer="9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F81D" w14:textId="77777777" w:rsidR="007B38BD" w:rsidRDefault="007B38BD" w:rsidP="006C1B08">
      <w:r>
        <w:separator/>
      </w:r>
    </w:p>
  </w:endnote>
  <w:endnote w:type="continuationSeparator" w:id="0">
    <w:p w14:paraId="21296AA7" w14:textId="77777777" w:rsidR="007B38BD" w:rsidRDefault="007B38BD" w:rsidP="006C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omme Sans Light">
    <w:altName w:val="Arial"/>
    <w:charset w:val="00"/>
    <w:family w:val="auto"/>
    <w:pitch w:val="variable"/>
    <w:sig w:usb0="00000001"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0A75" w14:textId="77777777" w:rsidR="001C31C6" w:rsidRDefault="00515B89" w:rsidP="000F4CF2">
    <w:pPr>
      <w:pStyle w:val="Footer"/>
      <w:ind w:right="-166"/>
    </w:pPr>
    <w:r>
      <w:rPr>
        <w:noProof/>
        <w:lang w:val="en-ZA" w:eastAsia="en-ZA"/>
      </w:rPr>
      <w:drawing>
        <wp:anchor distT="0" distB="0" distL="114300" distR="114300" simplePos="0" relativeHeight="251662336" behindDoc="1" locked="0" layoutInCell="1" allowOverlap="1" wp14:anchorId="3CD58B44" wp14:editId="674C729D">
          <wp:simplePos x="0" y="0"/>
          <wp:positionH relativeFrom="column">
            <wp:posOffset>-911469</wp:posOffset>
          </wp:positionH>
          <wp:positionV relativeFrom="paragraph">
            <wp:posOffset>76368</wp:posOffset>
          </wp:positionV>
          <wp:extent cx="7552592" cy="682116"/>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 generic.jpg"/>
                  <pic:cNvPicPr/>
                </pic:nvPicPr>
                <pic:blipFill>
                  <a:blip r:embed="rId1">
                    <a:extLst>
                      <a:ext uri="{28A0092B-C50C-407E-A947-70E740481C1C}">
                        <a14:useLocalDpi xmlns:a14="http://schemas.microsoft.com/office/drawing/2010/main" val="0"/>
                      </a:ext>
                    </a:extLst>
                  </a:blip>
                  <a:stretch>
                    <a:fillRect/>
                  </a:stretch>
                </pic:blipFill>
                <pic:spPr>
                  <a:xfrm>
                    <a:off x="0" y="0"/>
                    <a:ext cx="7705451" cy="69592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52E3" w14:textId="77777777" w:rsidR="006C1B08" w:rsidRPr="00BB77F1" w:rsidRDefault="00554F1B" w:rsidP="00194006">
    <w:pPr>
      <w:ind w:left="-284" w:right="-336"/>
      <w:jc w:val="right"/>
      <w:rPr>
        <w:rFonts w:ascii="Gomme Sans Light" w:hAnsi="Gomme Sans Light"/>
        <w:sz w:val="17"/>
      </w:rPr>
    </w:pPr>
    <w:r>
      <w:rPr>
        <w:rFonts w:ascii="Gomme Sans Light" w:hAnsi="Gomme Sans Light"/>
        <w:noProof/>
        <w:sz w:val="17"/>
        <w:lang w:val="en-ZA" w:eastAsia="en-ZA"/>
      </w:rPr>
      <w:drawing>
        <wp:anchor distT="0" distB="0" distL="114300" distR="114300" simplePos="0" relativeHeight="251680768" behindDoc="1" locked="0" layoutInCell="1" allowOverlap="1" wp14:anchorId="1679A559" wp14:editId="53C8F736">
          <wp:simplePos x="0" y="0"/>
          <wp:positionH relativeFrom="column">
            <wp:posOffset>-907415</wp:posOffset>
          </wp:positionH>
          <wp:positionV relativeFrom="paragraph">
            <wp:posOffset>-269651</wp:posOffset>
          </wp:positionV>
          <wp:extent cx="7549748" cy="155759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ooter TEPA.jpg"/>
                  <pic:cNvPicPr/>
                </pic:nvPicPr>
                <pic:blipFill>
                  <a:blip r:embed="rId1">
                    <a:extLst>
                      <a:ext uri="{28A0092B-C50C-407E-A947-70E740481C1C}">
                        <a14:useLocalDpi xmlns:a14="http://schemas.microsoft.com/office/drawing/2010/main" val="0"/>
                      </a:ext>
                    </a:extLst>
                  </a:blip>
                  <a:stretch>
                    <a:fillRect/>
                  </a:stretch>
                </pic:blipFill>
                <pic:spPr>
                  <a:xfrm>
                    <a:off x="0" y="0"/>
                    <a:ext cx="7549748" cy="1557598"/>
                  </a:xfrm>
                  <a:prstGeom prst="rect">
                    <a:avLst/>
                  </a:prstGeom>
                </pic:spPr>
              </pic:pic>
            </a:graphicData>
          </a:graphic>
          <wp14:sizeRelH relativeFrom="margin">
            <wp14:pctWidth>0</wp14:pctWidth>
          </wp14:sizeRelH>
          <wp14:sizeRelV relativeFrom="margin">
            <wp14:pctHeight>0</wp14:pctHeight>
          </wp14:sizeRelV>
        </wp:anchor>
      </w:drawing>
    </w:r>
  </w:p>
  <w:p w14:paraId="45FC9B0B" w14:textId="77777777" w:rsidR="006C1B08" w:rsidRPr="00BB77F1" w:rsidRDefault="006C1B08" w:rsidP="00194006">
    <w:pPr>
      <w:ind w:left="-284" w:right="-336"/>
      <w:jc w:val="right"/>
      <w:rPr>
        <w:rFonts w:ascii="Gomme Sans Light" w:hAnsi="Gomme Sans Light"/>
        <w:color w:val="7F7F7F" w:themeColor="text1" w:themeTint="80"/>
        <w:sz w:val="17"/>
      </w:rPr>
    </w:pPr>
  </w:p>
  <w:p w14:paraId="06D4C0E7" w14:textId="77777777" w:rsidR="006C1B08" w:rsidRPr="00BB77F1" w:rsidRDefault="00895816" w:rsidP="00895816">
    <w:pPr>
      <w:tabs>
        <w:tab w:val="left" w:pos="6507"/>
      </w:tabs>
      <w:ind w:right="-336"/>
      <w:rPr>
        <w:rFonts w:ascii="Gomme Sans Light" w:hAnsi="Gomme Sans Light"/>
        <w:color w:val="7F7F7F" w:themeColor="text1" w:themeTint="80"/>
        <w:sz w:val="17"/>
      </w:rPr>
    </w:pPr>
    <w:r>
      <w:rPr>
        <w:rFonts w:ascii="Gomme Sans Light" w:hAnsi="Gomme Sans Light"/>
        <w:color w:val="7F7F7F" w:themeColor="text1" w:themeTint="80"/>
        <w:sz w:val="17"/>
      </w:rPr>
      <w:tab/>
    </w:r>
  </w:p>
  <w:p w14:paraId="2AF91178" w14:textId="77777777" w:rsidR="006C1B08" w:rsidRPr="00D163F4" w:rsidRDefault="006C1B08" w:rsidP="006C1B08">
    <w:pPr>
      <w:ind w:right="-336"/>
      <w:jc w:val="right"/>
      <w:rPr>
        <w:rFonts w:ascii="Gomme Sans Light" w:hAnsi="Gomme Sans Light"/>
        <w:sz w:val="17"/>
      </w:rPr>
    </w:pPr>
  </w:p>
  <w:p w14:paraId="3020013C" w14:textId="77777777" w:rsidR="006C1B08" w:rsidRDefault="00895816" w:rsidP="00895816">
    <w:pPr>
      <w:pStyle w:val="Footer"/>
      <w:tabs>
        <w:tab w:val="clear" w:pos="4513"/>
        <w:tab w:val="clear" w:pos="9026"/>
        <w:tab w:val="left" w:pos="6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D5C62" w14:textId="77777777" w:rsidR="007B38BD" w:rsidRDefault="007B38BD" w:rsidP="006C1B08">
      <w:r>
        <w:separator/>
      </w:r>
    </w:p>
  </w:footnote>
  <w:footnote w:type="continuationSeparator" w:id="0">
    <w:p w14:paraId="7A2EE5FD" w14:textId="77777777" w:rsidR="007B38BD" w:rsidRDefault="007B38BD" w:rsidP="006C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D33F" w14:textId="77777777" w:rsidR="001C31C6" w:rsidRDefault="00554F1B">
    <w:pPr>
      <w:pStyle w:val="Header"/>
    </w:pPr>
    <w:r>
      <w:rPr>
        <w:noProof/>
        <w:lang w:val="en-ZA" w:eastAsia="en-ZA"/>
      </w:rPr>
      <w:drawing>
        <wp:anchor distT="0" distB="0" distL="114300" distR="114300" simplePos="0" relativeHeight="251678720" behindDoc="1" locked="0" layoutInCell="1" allowOverlap="1" wp14:anchorId="496BFC86" wp14:editId="4EC37E6A">
          <wp:simplePos x="0" y="0"/>
          <wp:positionH relativeFrom="column">
            <wp:posOffset>-914401</wp:posOffset>
          </wp:positionH>
          <wp:positionV relativeFrom="paragraph">
            <wp:posOffset>-440723</wp:posOffset>
          </wp:positionV>
          <wp:extent cx="7555665" cy="15251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ader TEPA.jpg"/>
                  <pic:cNvPicPr/>
                </pic:nvPicPr>
                <pic:blipFill>
                  <a:blip r:embed="rId1">
                    <a:extLst>
                      <a:ext uri="{28A0092B-C50C-407E-A947-70E740481C1C}">
                        <a14:useLocalDpi xmlns:a14="http://schemas.microsoft.com/office/drawing/2010/main" val="0"/>
                      </a:ext>
                    </a:extLst>
                  </a:blip>
                  <a:stretch>
                    <a:fillRect/>
                  </a:stretch>
                </pic:blipFill>
                <pic:spPr>
                  <a:xfrm>
                    <a:off x="0" y="0"/>
                    <a:ext cx="7599474" cy="15339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3342" w14:textId="77777777" w:rsidR="006C1B08" w:rsidRDefault="00554F1B">
    <w:pPr>
      <w:pStyle w:val="Header"/>
    </w:pPr>
    <w:r>
      <w:rPr>
        <w:noProof/>
        <w:lang w:val="en-ZA" w:eastAsia="en-ZA"/>
      </w:rPr>
      <w:drawing>
        <wp:anchor distT="0" distB="0" distL="114300" distR="114300" simplePos="0" relativeHeight="251679744" behindDoc="1" locked="0" layoutInCell="1" allowOverlap="1" wp14:anchorId="7AD5D2BD" wp14:editId="78029777">
          <wp:simplePos x="0" y="0"/>
          <wp:positionH relativeFrom="column">
            <wp:posOffset>-911225</wp:posOffset>
          </wp:positionH>
          <wp:positionV relativeFrom="paragraph">
            <wp:posOffset>-448299</wp:posOffset>
          </wp:positionV>
          <wp:extent cx="7552501" cy="152447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der TEPA.jpg"/>
                  <pic:cNvPicPr/>
                </pic:nvPicPr>
                <pic:blipFill>
                  <a:blip r:embed="rId1">
                    <a:extLst>
                      <a:ext uri="{28A0092B-C50C-407E-A947-70E740481C1C}">
                        <a14:useLocalDpi xmlns:a14="http://schemas.microsoft.com/office/drawing/2010/main" val="0"/>
                      </a:ext>
                    </a:extLst>
                  </a:blip>
                  <a:stretch>
                    <a:fillRect/>
                  </a:stretch>
                </pic:blipFill>
                <pic:spPr>
                  <a:xfrm>
                    <a:off x="0" y="0"/>
                    <a:ext cx="7552501" cy="15244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2693"/>
    <w:multiLevelType w:val="hybridMultilevel"/>
    <w:tmpl w:val="6A0A8778"/>
    <w:lvl w:ilvl="0" w:tplc="7B420F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A959B3"/>
    <w:multiLevelType w:val="hybridMultilevel"/>
    <w:tmpl w:val="1334F6FC"/>
    <w:lvl w:ilvl="0" w:tplc="7B420F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6A0D9A"/>
    <w:multiLevelType w:val="hybridMultilevel"/>
    <w:tmpl w:val="788E468E"/>
    <w:lvl w:ilvl="0" w:tplc="49D004F2">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355E6B"/>
    <w:multiLevelType w:val="multilevel"/>
    <w:tmpl w:val="E84C679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E90513F"/>
    <w:multiLevelType w:val="hybridMultilevel"/>
    <w:tmpl w:val="394A4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06A6409"/>
    <w:multiLevelType w:val="hybridMultilevel"/>
    <w:tmpl w:val="7018CFDC"/>
    <w:lvl w:ilvl="0" w:tplc="1C09000F">
      <w:start w:val="1"/>
      <w:numFmt w:val="decimal"/>
      <w:lvlText w:val="%1."/>
      <w:lvlJc w:val="left"/>
      <w:pPr>
        <w:ind w:left="720" w:hanging="360"/>
      </w:pPr>
    </w:lvl>
    <w:lvl w:ilvl="1" w:tplc="9A2E7270">
      <w:start w:val="1"/>
      <w:numFmt w:val="decimal"/>
      <w:lvlText w:val="%2"/>
      <w:lvlJc w:val="left"/>
      <w:pPr>
        <w:ind w:left="1440" w:hanging="360"/>
      </w:pPr>
      <w:rPr>
        <w:rFonts w:hint="default"/>
      </w:rPr>
    </w:lvl>
    <w:lvl w:ilvl="2" w:tplc="96F254DC">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070E0D"/>
    <w:multiLevelType w:val="multilevel"/>
    <w:tmpl w:val="278213B2"/>
    <w:lvl w:ilvl="0">
      <w:start w:val="1"/>
      <w:numFmt w:val="decimal"/>
      <w:lvlText w:val="%1"/>
      <w:lvlJc w:val="left"/>
      <w:pPr>
        <w:ind w:left="432" w:hanging="432"/>
      </w:pPr>
      <w:rPr>
        <w:rFonts w:hint="default"/>
      </w:rPr>
    </w:lvl>
    <w:lvl w:ilvl="1">
      <w:start w:val="1"/>
      <w:numFmt w:val="decimal"/>
      <w:lvlText w:val="%1.%2"/>
      <w:lvlJc w:val="left"/>
      <w:pPr>
        <w:ind w:left="567" w:hanging="283"/>
      </w:pPr>
      <w:rPr>
        <w:rFonts w:hint="default"/>
      </w:rPr>
    </w:lvl>
    <w:lvl w:ilvl="2">
      <w:start w:val="1"/>
      <w:numFmt w:val="bullet"/>
      <w:lvlText w:val=""/>
      <w:lvlJc w:val="left"/>
      <w:pPr>
        <w:ind w:left="1361" w:hanging="681"/>
      </w:pPr>
      <w:rPr>
        <w:rFonts w:ascii="Symbol" w:hAnsi="Symbo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851"/>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5F21E97"/>
    <w:multiLevelType w:val="hybridMultilevel"/>
    <w:tmpl w:val="3BE66B50"/>
    <w:lvl w:ilvl="0" w:tplc="7B420F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0D824F5"/>
    <w:multiLevelType w:val="hybridMultilevel"/>
    <w:tmpl w:val="C414EF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70A5870"/>
    <w:multiLevelType w:val="hybridMultilevel"/>
    <w:tmpl w:val="0F161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837CD0"/>
    <w:multiLevelType w:val="hybridMultilevel"/>
    <w:tmpl w:val="73B67E16"/>
    <w:lvl w:ilvl="0" w:tplc="E8942C36">
      <w:start w:val="16"/>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5FBE4C10"/>
    <w:multiLevelType w:val="multilevel"/>
    <w:tmpl w:val="4412C204"/>
    <w:lvl w:ilvl="0">
      <w:start w:val="1"/>
      <w:numFmt w:val="decimal"/>
      <w:lvlText w:val="%1."/>
      <w:lvlJc w:val="left"/>
      <w:pPr>
        <w:ind w:left="1080" w:hanging="360"/>
      </w:p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61CE5558"/>
    <w:multiLevelType w:val="hybridMultilevel"/>
    <w:tmpl w:val="6694B9FC"/>
    <w:lvl w:ilvl="0" w:tplc="7B420F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3"/>
  </w:num>
  <w:num w:numId="6">
    <w:abstractNumId w:val="11"/>
  </w:num>
  <w:num w:numId="7">
    <w:abstractNumId w:val="0"/>
  </w:num>
  <w:num w:numId="8">
    <w:abstractNumId w:val="2"/>
  </w:num>
  <w:num w:numId="9">
    <w:abstractNumId w:val="10"/>
  </w:num>
  <w:num w:numId="10">
    <w:abstractNumId w:val="8"/>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08"/>
    <w:rsid w:val="00002BA3"/>
    <w:rsid w:val="00022823"/>
    <w:rsid w:val="00031931"/>
    <w:rsid w:val="0005696D"/>
    <w:rsid w:val="00094007"/>
    <w:rsid w:val="000A6721"/>
    <w:rsid w:val="000E76C3"/>
    <w:rsid w:val="000F4CF2"/>
    <w:rsid w:val="00103F9F"/>
    <w:rsid w:val="001064AB"/>
    <w:rsid w:val="00106EC2"/>
    <w:rsid w:val="001145F7"/>
    <w:rsid w:val="001550FE"/>
    <w:rsid w:val="0019372E"/>
    <w:rsid w:val="00194006"/>
    <w:rsid w:val="001C31C6"/>
    <w:rsid w:val="001C705A"/>
    <w:rsid w:val="001D1E5C"/>
    <w:rsid w:val="001E6153"/>
    <w:rsid w:val="001F0B57"/>
    <w:rsid w:val="00245FDB"/>
    <w:rsid w:val="002733FE"/>
    <w:rsid w:val="002B256A"/>
    <w:rsid w:val="002C06A8"/>
    <w:rsid w:val="002D29A4"/>
    <w:rsid w:val="002F5949"/>
    <w:rsid w:val="00317B6F"/>
    <w:rsid w:val="00343C7C"/>
    <w:rsid w:val="00356A30"/>
    <w:rsid w:val="003E1532"/>
    <w:rsid w:val="00452D36"/>
    <w:rsid w:val="00515B89"/>
    <w:rsid w:val="0054767E"/>
    <w:rsid w:val="00554F1B"/>
    <w:rsid w:val="005A3520"/>
    <w:rsid w:val="005A770A"/>
    <w:rsid w:val="005E024B"/>
    <w:rsid w:val="00602DED"/>
    <w:rsid w:val="006238A3"/>
    <w:rsid w:val="00686CC1"/>
    <w:rsid w:val="006C1B08"/>
    <w:rsid w:val="006C5FFC"/>
    <w:rsid w:val="006E257A"/>
    <w:rsid w:val="006E39A8"/>
    <w:rsid w:val="006E7D61"/>
    <w:rsid w:val="0071624A"/>
    <w:rsid w:val="007221A5"/>
    <w:rsid w:val="00736DDF"/>
    <w:rsid w:val="007441FF"/>
    <w:rsid w:val="0074749F"/>
    <w:rsid w:val="00757DB3"/>
    <w:rsid w:val="00787142"/>
    <w:rsid w:val="00795729"/>
    <w:rsid w:val="007A310E"/>
    <w:rsid w:val="007A772B"/>
    <w:rsid w:val="007B0496"/>
    <w:rsid w:val="007B2091"/>
    <w:rsid w:val="007B38BD"/>
    <w:rsid w:val="007C207F"/>
    <w:rsid w:val="00895816"/>
    <w:rsid w:val="00896888"/>
    <w:rsid w:val="008B0D89"/>
    <w:rsid w:val="008F62C6"/>
    <w:rsid w:val="00913606"/>
    <w:rsid w:val="00943657"/>
    <w:rsid w:val="009A1955"/>
    <w:rsid w:val="009C53E4"/>
    <w:rsid w:val="009F3F66"/>
    <w:rsid w:val="00A01C25"/>
    <w:rsid w:val="00A87E1F"/>
    <w:rsid w:val="00B10E80"/>
    <w:rsid w:val="00B3069A"/>
    <w:rsid w:val="00B91716"/>
    <w:rsid w:val="00BA789F"/>
    <w:rsid w:val="00BC4004"/>
    <w:rsid w:val="00C00DD1"/>
    <w:rsid w:val="00C12E2E"/>
    <w:rsid w:val="00C1411B"/>
    <w:rsid w:val="00CC40CA"/>
    <w:rsid w:val="00CD3FBA"/>
    <w:rsid w:val="00D03A22"/>
    <w:rsid w:val="00D25F8B"/>
    <w:rsid w:val="00D30DC8"/>
    <w:rsid w:val="00DD3AF5"/>
    <w:rsid w:val="00E12506"/>
    <w:rsid w:val="00E128F4"/>
    <w:rsid w:val="00E3432C"/>
    <w:rsid w:val="00E805C4"/>
    <w:rsid w:val="00E9081F"/>
    <w:rsid w:val="00EC6AB8"/>
    <w:rsid w:val="00F11594"/>
    <w:rsid w:val="00F2655D"/>
    <w:rsid w:val="00F35A77"/>
    <w:rsid w:val="00F71330"/>
    <w:rsid w:val="00F72609"/>
    <w:rsid w:val="00FD4437"/>
    <w:rsid w:val="00FF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97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94"/>
    <w:rPr>
      <w:sz w:val="20"/>
    </w:rPr>
  </w:style>
  <w:style w:type="paragraph" w:styleId="Heading1">
    <w:name w:val="heading 1"/>
    <w:basedOn w:val="Normal"/>
    <w:next w:val="Normal"/>
    <w:link w:val="Heading1Char"/>
    <w:uiPriority w:val="9"/>
    <w:qFormat/>
    <w:rsid w:val="008968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968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9688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List"/>
    <w:next w:val="Normal"/>
    <w:link w:val="Heading4Char"/>
    <w:uiPriority w:val="9"/>
    <w:semiHidden/>
    <w:unhideWhenUsed/>
    <w:qFormat/>
    <w:rsid w:val="00896888"/>
    <w:pPr>
      <w:keepNext/>
      <w:keepLines/>
      <w:spacing w:before="200"/>
      <w:ind w:left="0" w:firstLine="0"/>
      <w:contextualSpacing w:val="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9688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9688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9688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688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9688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688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link w:val="Heading2"/>
    <w:uiPriority w:val="9"/>
    <w:semiHidden/>
    <w:rsid w:val="00896888"/>
    <w:rPr>
      <w:rFonts w:asciiTheme="majorHAnsi" w:eastAsiaTheme="majorEastAsia" w:hAnsiTheme="majorHAnsi" w:cstheme="majorBidi"/>
      <w:b/>
      <w:bCs/>
      <w:color w:val="5B9BD5" w:themeColor="accent1"/>
      <w:sz w:val="26"/>
      <w:szCs w:val="26"/>
    </w:rPr>
  </w:style>
  <w:style w:type="character" w:customStyle="1" w:styleId="Heading3Char">
    <w:name w:val="Heading 3 Char"/>
    <w:link w:val="Heading3"/>
    <w:uiPriority w:val="9"/>
    <w:semiHidden/>
    <w:rsid w:val="00896888"/>
    <w:rPr>
      <w:rFonts w:asciiTheme="majorHAnsi" w:eastAsiaTheme="majorEastAsia" w:hAnsiTheme="majorHAnsi" w:cstheme="majorBidi"/>
      <w:b/>
      <w:bCs/>
      <w:color w:val="5B9BD5" w:themeColor="accent1"/>
    </w:rPr>
  </w:style>
  <w:style w:type="character" w:customStyle="1" w:styleId="Heading4Char">
    <w:name w:val="Heading 4 Char"/>
    <w:link w:val="Heading4"/>
    <w:uiPriority w:val="9"/>
    <w:semiHidden/>
    <w:rsid w:val="00896888"/>
    <w:rPr>
      <w:rFonts w:asciiTheme="majorHAnsi" w:eastAsiaTheme="majorEastAsia" w:hAnsiTheme="majorHAnsi" w:cstheme="majorBidi"/>
      <w:b/>
      <w:bCs/>
      <w:i/>
      <w:iCs/>
      <w:color w:val="5B9BD5" w:themeColor="accent1"/>
    </w:rPr>
  </w:style>
  <w:style w:type="paragraph" w:styleId="List">
    <w:name w:val="List"/>
    <w:basedOn w:val="Normal"/>
    <w:uiPriority w:val="99"/>
    <w:semiHidden/>
    <w:unhideWhenUsed/>
    <w:rsid w:val="007221A5"/>
    <w:pPr>
      <w:ind w:left="283" w:hanging="283"/>
      <w:contextualSpacing/>
    </w:pPr>
  </w:style>
  <w:style w:type="character" w:customStyle="1" w:styleId="Heading5Char">
    <w:name w:val="Heading 5 Char"/>
    <w:link w:val="Heading5"/>
    <w:uiPriority w:val="9"/>
    <w:semiHidden/>
    <w:rsid w:val="00896888"/>
    <w:rPr>
      <w:rFonts w:asciiTheme="majorHAnsi" w:eastAsiaTheme="majorEastAsia" w:hAnsiTheme="majorHAnsi" w:cstheme="majorBidi"/>
      <w:color w:val="1F4D78" w:themeColor="accent1" w:themeShade="7F"/>
    </w:rPr>
  </w:style>
  <w:style w:type="character" w:customStyle="1" w:styleId="Heading6Char">
    <w:name w:val="Heading 6 Char"/>
    <w:link w:val="Heading6"/>
    <w:uiPriority w:val="9"/>
    <w:semiHidden/>
    <w:rsid w:val="00896888"/>
    <w:rPr>
      <w:rFonts w:asciiTheme="majorHAnsi" w:eastAsiaTheme="majorEastAsia" w:hAnsiTheme="majorHAnsi" w:cstheme="majorBidi"/>
      <w:i/>
      <w:iCs/>
      <w:color w:val="1F4D78" w:themeColor="accent1" w:themeShade="7F"/>
    </w:rPr>
  </w:style>
  <w:style w:type="character" w:customStyle="1" w:styleId="Heading7Char">
    <w:name w:val="Heading 7 Char"/>
    <w:link w:val="Heading7"/>
    <w:uiPriority w:val="9"/>
    <w:semiHidden/>
    <w:rsid w:val="00896888"/>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896888"/>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89688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96888"/>
    <w:pPr>
      <w:spacing w:after="200"/>
    </w:pPr>
    <w:rPr>
      <w:b/>
      <w:bCs/>
      <w:color w:val="5B9BD5" w:themeColor="accent1"/>
      <w:sz w:val="18"/>
      <w:szCs w:val="18"/>
    </w:rPr>
  </w:style>
  <w:style w:type="paragraph" w:styleId="Title">
    <w:name w:val="Title"/>
    <w:basedOn w:val="Normal"/>
    <w:next w:val="Normal"/>
    <w:link w:val="TitleChar"/>
    <w:uiPriority w:val="10"/>
    <w:qFormat/>
    <w:rsid w:val="0089688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link w:val="Title"/>
    <w:uiPriority w:val="10"/>
    <w:rsid w:val="00896888"/>
    <w:rPr>
      <w:rFonts w:asciiTheme="majorHAnsi" w:eastAsiaTheme="majorEastAsia" w:hAnsiTheme="majorHAnsi" w:cstheme="majorBidi"/>
      <w:color w:val="323E4F" w:themeColor="text2" w:themeShade="BF"/>
      <w:spacing w:val="5"/>
      <w:kern w:val="28"/>
      <w:sz w:val="52"/>
      <w:szCs w:val="52"/>
    </w:rPr>
  </w:style>
  <w:style w:type="paragraph" w:styleId="BodyText">
    <w:name w:val="Body Text"/>
    <w:aliases w:val="Body Text ESP"/>
    <w:basedOn w:val="Normal"/>
    <w:link w:val="BodyTextChar"/>
    <w:autoRedefine/>
    <w:uiPriority w:val="99"/>
    <w:rsid w:val="00896888"/>
    <w:pPr>
      <w:ind w:left="1800"/>
      <w:jc w:val="both"/>
    </w:pPr>
    <w:rPr>
      <w:rFonts w:ascii="Arial" w:hAnsi="Arial" w:cs="Arial"/>
      <w:lang w:val="en-GB"/>
    </w:rPr>
  </w:style>
  <w:style w:type="character" w:customStyle="1" w:styleId="BodyTextChar">
    <w:name w:val="Body Text Char"/>
    <w:aliases w:val="Body Text ESP Char"/>
    <w:link w:val="BodyText"/>
    <w:uiPriority w:val="99"/>
    <w:rsid w:val="00896888"/>
    <w:rPr>
      <w:rFonts w:ascii="Arial" w:hAnsi="Arial" w:cs="Arial"/>
      <w:sz w:val="24"/>
      <w:szCs w:val="24"/>
      <w:lang w:val="en-GB" w:eastAsia="en-US"/>
    </w:rPr>
  </w:style>
  <w:style w:type="paragraph" w:styleId="Subtitle">
    <w:name w:val="Subtitle"/>
    <w:basedOn w:val="Normal"/>
    <w:next w:val="Normal"/>
    <w:link w:val="SubtitleChar"/>
    <w:uiPriority w:val="11"/>
    <w:qFormat/>
    <w:rsid w:val="00896888"/>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link w:val="Subtitle"/>
    <w:uiPriority w:val="11"/>
    <w:rsid w:val="00896888"/>
    <w:rPr>
      <w:rFonts w:asciiTheme="majorHAnsi" w:eastAsiaTheme="majorEastAsia" w:hAnsiTheme="majorHAnsi" w:cstheme="majorBidi"/>
      <w:i/>
      <w:iCs/>
      <w:color w:val="5B9BD5" w:themeColor="accent1"/>
      <w:spacing w:val="15"/>
    </w:rPr>
  </w:style>
  <w:style w:type="character" w:styleId="Strong">
    <w:name w:val="Strong"/>
    <w:uiPriority w:val="22"/>
    <w:qFormat/>
    <w:rsid w:val="00896888"/>
    <w:rPr>
      <w:b/>
      <w:bCs/>
    </w:rPr>
  </w:style>
  <w:style w:type="character" w:styleId="Emphasis">
    <w:name w:val="Emphasis"/>
    <w:uiPriority w:val="20"/>
    <w:qFormat/>
    <w:rsid w:val="00896888"/>
    <w:rPr>
      <w:i/>
      <w:iCs/>
    </w:rPr>
  </w:style>
  <w:style w:type="paragraph" w:styleId="NoSpacing">
    <w:name w:val="No Spacing"/>
    <w:basedOn w:val="Normal"/>
    <w:link w:val="NoSpacingChar"/>
    <w:uiPriority w:val="1"/>
    <w:qFormat/>
    <w:rsid w:val="00896888"/>
  </w:style>
  <w:style w:type="character" w:customStyle="1" w:styleId="NoSpacingChar">
    <w:name w:val="No Spacing Char"/>
    <w:link w:val="NoSpacing"/>
    <w:uiPriority w:val="1"/>
    <w:locked/>
    <w:rsid w:val="00896888"/>
  </w:style>
  <w:style w:type="paragraph" w:styleId="ListParagraph">
    <w:name w:val="List Paragraph"/>
    <w:basedOn w:val="Normal"/>
    <w:uiPriority w:val="34"/>
    <w:qFormat/>
    <w:rsid w:val="00896888"/>
    <w:pPr>
      <w:ind w:left="720"/>
      <w:contextualSpacing/>
    </w:pPr>
  </w:style>
  <w:style w:type="paragraph" w:styleId="Quote">
    <w:name w:val="Quote"/>
    <w:basedOn w:val="Normal"/>
    <w:next w:val="Normal"/>
    <w:link w:val="QuoteChar"/>
    <w:uiPriority w:val="29"/>
    <w:qFormat/>
    <w:rsid w:val="00896888"/>
    <w:rPr>
      <w:i/>
      <w:iCs/>
      <w:color w:val="000000" w:themeColor="text1"/>
    </w:rPr>
  </w:style>
  <w:style w:type="character" w:customStyle="1" w:styleId="QuoteChar">
    <w:name w:val="Quote Char"/>
    <w:link w:val="Quote"/>
    <w:uiPriority w:val="29"/>
    <w:rsid w:val="00896888"/>
    <w:rPr>
      <w:i/>
      <w:iCs/>
      <w:color w:val="000000" w:themeColor="text1"/>
    </w:rPr>
  </w:style>
  <w:style w:type="paragraph" w:styleId="IntenseQuote">
    <w:name w:val="Intense Quote"/>
    <w:basedOn w:val="Normal"/>
    <w:next w:val="Normal"/>
    <w:link w:val="IntenseQuoteChar"/>
    <w:uiPriority w:val="30"/>
    <w:qFormat/>
    <w:rsid w:val="0089688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link w:val="IntenseQuote"/>
    <w:uiPriority w:val="30"/>
    <w:rsid w:val="00896888"/>
    <w:rPr>
      <w:b/>
      <w:bCs/>
      <w:i/>
      <w:iCs/>
      <w:color w:val="5B9BD5" w:themeColor="accent1"/>
    </w:rPr>
  </w:style>
  <w:style w:type="character" w:styleId="SubtleEmphasis">
    <w:name w:val="Subtle Emphasis"/>
    <w:uiPriority w:val="19"/>
    <w:qFormat/>
    <w:rsid w:val="00896888"/>
    <w:rPr>
      <w:i/>
      <w:iCs/>
      <w:color w:val="808080" w:themeColor="text1" w:themeTint="7F"/>
    </w:rPr>
  </w:style>
  <w:style w:type="character" w:styleId="IntenseEmphasis">
    <w:name w:val="Intense Emphasis"/>
    <w:uiPriority w:val="21"/>
    <w:qFormat/>
    <w:rsid w:val="00896888"/>
    <w:rPr>
      <w:b/>
      <w:bCs/>
      <w:i/>
      <w:iCs/>
      <w:color w:val="5B9BD5" w:themeColor="accent1"/>
    </w:rPr>
  </w:style>
  <w:style w:type="character" w:styleId="SubtleReference">
    <w:name w:val="Subtle Reference"/>
    <w:uiPriority w:val="31"/>
    <w:qFormat/>
    <w:rsid w:val="00896888"/>
    <w:rPr>
      <w:smallCaps/>
      <w:color w:val="ED7D31" w:themeColor="accent2"/>
      <w:u w:val="single"/>
    </w:rPr>
  </w:style>
  <w:style w:type="character" w:styleId="IntenseReference">
    <w:name w:val="Intense Reference"/>
    <w:uiPriority w:val="32"/>
    <w:qFormat/>
    <w:rsid w:val="00896888"/>
    <w:rPr>
      <w:b/>
      <w:bCs/>
      <w:smallCaps/>
      <w:color w:val="ED7D31" w:themeColor="accent2"/>
      <w:spacing w:val="5"/>
      <w:u w:val="single"/>
    </w:rPr>
  </w:style>
  <w:style w:type="character" w:styleId="BookTitle">
    <w:name w:val="Book Title"/>
    <w:uiPriority w:val="33"/>
    <w:qFormat/>
    <w:rsid w:val="00896888"/>
    <w:rPr>
      <w:b/>
      <w:bCs/>
      <w:smallCaps/>
      <w:spacing w:val="5"/>
    </w:rPr>
  </w:style>
  <w:style w:type="paragraph" w:styleId="TOCHeading">
    <w:name w:val="TOC Heading"/>
    <w:basedOn w:val="Heading1"/>
    <w:next w:val="Normal"/>
    <w:uiPriority w:val="39"/>
    <w:semiHidden/>
    <w:unhideWhenUsed/>
    <w:qFormat/>
    <w:rsid w:val="00896888"/>
    <w:pPr>
      <w:outlineLvl w:val="9"/>
    </w:pPr>
  </w:style>
  <w:style w:type="paragraph" w:customStyle="1" w:styleId="Style1">
    <w:name w:val="Style1"/>
    <w:basedOn w:val="Normal"/>
    <w:qFormat/>
    <w:rsid w:val="00EC6AB8"/>
    <w:rPr>
      <w:rFonts w:ascii="Open Sans" w:hAnsi="Open Sans" w:cs="Open Sans"/>
      <w:sz w:val="18"/>
      <w:szCs w:val="17"/>
    </w:rPr>
  </w:style>
  <w:style w:type="paragraph" w:styleId="Header">
    <w:name w:val="header"/>
    <w:basedOn w:val="Normal"/>
    <w:link w:val="HeaderChar"/>
    <w:uiPriority w:val="99"/>
    <w:unhideWhenUsed/>
    <w:rsid w:val="006C1B08"/>
    <w:pPr>
      <w:tabs>
        <w:tab w:val="center" w:pos="4513"/>
        <w:tab w:val="right" w:pos="9026"/>
      </w:tabs>
    </w:pPr>
  </w:style>
  <w:style w:type="character" w:customStyle="1" w:styleId="HeaderChar">
    <w:name w:val="Header Char"/>
    <w:basedOn w:val="DefaultParagraphFont"/>
    <w:link w:val="Header"/>
    <w:uiPriority w:val="99"/>
    <w:rsid w:val="006C1B08"/>
  </w:style>
  <w:style w:type="paragraph" w:styleId="Footer">
    <w:name w:val="footer"/>
    <w:basedOn w:val="Normal"/>
    <w:link w:val="FooterChar"/>
    <w:uiPriority w:val="99"/>
    <w:unhideWhenUsed/>
    <w:rsid w:val="006C1B08"/>
    <w:pPr>
      <w:tabs>
        <w:tab w:val="center" w:pos="4513"/>
        <w:tab w:val="right" w:pos="9026"/>
      </w:tabs>
    </w:pPr>
  </w:style>
  <w:style w:type="character" w:customStyle="1" w:styleId="FooterChar">
    <w:name w:val="Footer Char"/>
    <w:basedOn w:val="DefaultParagraphFont"/>
    <w:link w:val="Footer"/>
    <w:uiPriority w:val="99"/>
    <w:rsid w:val="006C1B08"/>
  </w:style>
  <w:style w:type="paragraph" w:styleId="BalloonText">
    <w:name w:val="Balloon Text"/>
    <w:basedOn w:val="Normal"/>
    <w:link w:val="BalloonTextChar"/>
    <w:uiPriority w:val="99"/>
    <w:semiHidden/>
    <w:unhideWhenUsed/>
    <w:rsid w:val="006C1B08"/>
    <w:rPr>
      <w:rFonts w:ascii="Tahoma" w:hAnsi="Tahoma" w:cs="Tahoma"/>
      <w:sz w:val="16"/>
      <w:szCs w:val="16"/>
    </w:rPr>
  </w:style>
  <w:style w:type="character" w:customStyle="1" w:styleId="BalloonTextChar">
    <w:name w:val="Balloon Text Char"/>
    <w:basedOn w:val="DefaultParagraphFont"/>
    <w:link w:val="BalloonText"/>
    <w:uiPriority w:val="99"/>
    <w:semiHidden/>
    <w:rsid w:val="006C1B08"/>
    <w:rPr>
      <w:rFonts w:ascii="Tahoma" w:hAnsi="Tahoma" w:cs="Tahoma"/>
      <w:sz w:val="16"/>
      <w:szCs w:val="16"/>
    </w:rPr>
  </w:style>
  <w:style w:type="character" w:styleId="Hyperlink">
    <w:name w:val="Hyperlink"/>
    <w:basedOn w:val="DefaultParagraphFont"/>
    <w:uiPriority w:val="99"/>
    <w:unhideWhenUsed/>
    <w:rsid w:val="002B2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36315">
      <w:bodyDiv w:val="1"/>
      <w:marLeft w:val="0"/>
      <w:marRight w:val="0"/>
      <w:marTop w:val="0"/>
      <w:marBottom w:val="0"/>
      <w:divBdr>
        <w:top w:val="none" w:sz="0" w:space="0" w:color="auto"/>
        <w:left w:val="none" w:sz="0" w:space="0" w:color="auto"/>
        <w:bottom w:val="none" w:sz="0" w:space="0" w:color="auto"/>
        <w:right w:val="none" w:sz="0" w:space="0" w:color="auto"/>
      </w:divBdr>
    </w:div>
    <w:div w:id="19050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5EBF-BEC4-4144-B254-DD86A6EA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Silcock</dc:creator>
  <cp:lastModifiedBy>Hedley Judd</cp:lastModifiedBy>
  <cp:revision>2</cp:revision>
  <cp:lastPrinted>2019-03-04T09:43:00Z</cp:lastPrinted>
  <dcterms:created xsi:type="dcterms:W3CDTF">2020-07-15T13:12:00Z</dcterms:created>
  <dcterms:modified xsi:type="dcterms:W3CDTF">2020-07-15T13:12:00Z</dcterms:modified>
</cp:coreProperties>
</file>